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CE3" w:rsidRDefault="00642485">
      <w:pPr>
        <w:pStyle w:val="Standard"/>
        <w:numPr>
          <w:ilvl w:val="0"/>
          <w:numId w:val="8"/>
        </w:numPr>
        <w:spacing w:after="200"/>
        <w:ind w:left="720" w:hanging="360"/>
      </w:pPr>
      <w:bookmarkStart w:id="0" w:name="_GoBack"/>
      <w:bookmarkEnd w:id="0"/>
      <w:r>
        <w:rPr>
          <w:noProof/>
          <w:lang w:val="es-ES" w:eastAsia="es-ES" w:bidi="ar-SA"/>
        </w:rPr>
        <w:drawing>
          <wp:anchor distT="0" distB="0" distL="114300" distR="114300" simplePos="0" relativeHeight="251658240" behindDoc="0" locked="0" layoutInCell="1" allowOverlap="1">
            <wp:simplePos x="0" y="0"/>
            <wp:positionH relativeFrom="column">
              <wp:posOffset>0</wp:posOffset>
            </wp:positionH>
            <wp:positionV relativeFrom="page">
              <wp:posOffset>0</wp:posOffset>
            </wp:positionV>
            <wp:extent cx="6067080" cy="2590560"/>
            <wp:effectExtent l="0" t="0" r="0" b="240"/>
            <wp:wrapSquare wrapText="bothSides"/>
            <wp:docPr id="1" name="image03.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6067080" cy="2590560"/>
                    </a:xfrm>
                    <a:prstGeom prst="rect">
                      <a:avLst/>
                    </a:prstGeom>
                    <a:noFill/>
                    <a:ln>
                      <a:noFill/>
                    </a:ln>
                  </pic:spPr>
                </pic:pic>
              </a:graphicData>
            </a:graphic>
          </wp:anchor>
        </w:drawing>
      </w:r>
      <w:r>
        <w:rPr>
          <w:noProof/>
          <w:lang w:val="es-ES" w:eastAsia="es-ES" w:bidi="ar-SA"/>
        </w:rPr>
        <w:drawing>
          <wp:anchor distT="0" distB="0" distL="114300" distR="114300" simplePos="0" relativeHeight="2" behindDoc="0" locked="0" layoutInCell="1" allowOverlap="1">
            <wp:simplePos x="0" y="0"/>
            <wp:positionH relativeFrom="column">
              <wp:posOffset>0</wp:posOffset>
            </wp:positionH>
            <wp:positionV relativeFrom="page">
              <wp:posOffset>0</wp:posOffset>
            </wp:positionV>
            <wp:extent cx="5476680" cy="2347920"/>
            <wp:effectExtent l="0" t="0" r="0" b="0"/>
            <wp:wrapSquare wrapText="bothSides"/>
            <wp:docPr id="2" name="image06.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5476680" cy="2347920"/>
                    </a:xfrm>
                    <a:prstGeom prst="rect">
                      <a:avLst/>
                    </a:prstGeom>
                    <a:noFill/>
                    <a:ln>
                      <a:noFill/>
                    </a:ln>
                  </pic:spPr>
                </pic:pic>
              </a:graphicData>
            </a:graphic>
          </wp:anchor>
        </w:drawing>
      </w:r>
      <w:r>
        <w:rPr>
          <w:noProof/>
          <w:lang w:val="es-ES" w:eastAsia="es-ES" w:bidi="ar-SA"/>
        </w:rPr>
        <w:drawing>
          <wp:anchor distT="0" distB="0" distL="114300" distR="114300" simplePos="0" relativeHeight="4" behindDoc="0" locked="0" layoutInCell="1" allowOverlap="1">
            <wp:simplePos x="0" y="0"/>
            <wp:positionH relativeFrom="column">
              <wp:posOffset>0</wp:posOffset>
            </wp:positionH>
            <wp:positionV relativeFrom="page">
              <wp:posOffset>0</wp:posOffset>
            </wp:positionV>
            <wp:extent cx="5238360" cy="2009520"/>
            <wp:effectExtent l="0" t="0" r="390" b="0"/>
            <wp:wrapSquare wrapText="bothSides"/>
            <wp:docPr id="3" name="image04.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5238360" cy="2009520"/>
                    </a:xfrm>
                    <a:prstGeom prst="rect">
                      <a:avLst/>
                    </a:prstGeom>
                    <a:noFill/>
                    <a:ln>
                      <a:noFill/>
                    </a:ln>
                  </pic:spPr>
                </pic:pic>
              </a:graphicData>
            </a:graphic>
          </wp:anchor>
        </w:drawing>
      </w:r>
      <w:r>
        <w:rPr>
          <w:noProof/>
          <w:lang w:val="es-ES" w:eastAsia="es-ES" w:bidi="ar-SA"/>
        </w:rPr>
        <w:drawing>
          <wp:anchor distT="0" distB="0" distL="114300" distR="114300" simplePos="0" relativeHeight="6" behindDoc="0" locked="0" layoutInCell="1" allowOverlap="1">
            <wp:simplePos x="0" y="0"/>
            <wp:positionH relativeFrom="column">
              <wp:posOffset>0</wp:posOffset>
            </wp:positionH>
            <wp:positionV relativeFrom="page">
              <wp:posOffset>0</wp:posOffset>
            </wp:positionV>
            <wp:extent cx="3419279" cy="1933200"/>
            <wp:effectExtent l="0" t="0" r="0" b="0"/>
            <wp:wrapSquare wrapText="bothSides"/>
            <wp:docPr id="4" name="image07.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3419279" cy="1933200"/>
                    </a:xfrm>
                    <a:prstGeom prst="rect">
                      <a:avLst/>
                    </a:prstGeom>
                    <a:noFill/>
                    <a:ln>
                      <a:noFill/>
                    </a:ln>
                  </pic:spPr>
                </pic:pic>
              </a:graphicData>
            </a:graphic>
          </wp:anchor>
        </w:drawing>
      </w:r>
      <w:r>
        <w:rPr>
          <w:b/>
          <w:sz w:val="60"/>
          <w:szCs w:val="60"/>
        </w:rPr>
        <w:t>DOCUMENTO BORRADOR -</w:t>
      </w:r>
    </w:p>
    <w:p w:rsidR="005B5CE3" w:rsidRDefault="005B5CE3">
      <w:pPr>
        <w:pStyle w:val="Standard"/>
        <w:spacing w:after="200"/>
      </w:pPr>
    </w:p>
    <w:p w:rsidR="005B5CE3" w:rsidRDefault="005B5CE3">
      <w:pPr>
        <w:pStyle w:val="Standard"/>
        <w:spacing w:after="200"/>
      </w:pPr>
    </w:p>
    <w:p w:rsidR="005B5CE3" w:rsidRDefault="00642485">
      <w:pPr>
        <w:pStyle w:val="Standard"/>
        <w:spacing w:after="200"/>
      </w:pPr>
      <w:r>
        <w:rPr>
          <w:b/>
        </w:rPr>
        <w:t>Plan de acción de primera infancia, infancia y adolescencia 2015 – 2020</w:t>
      </w:r>
    </w:p>
    <w:p w:rsidR="005B5CE3" w:rsidRDefault="00642485">
      <w:pPr>
        <w:pStyle w:val="Standard"/>
        <w:spacing w:after="200"/>
      </w:pPr>
      <w:r>
        <w:rPr>
          <w:b/>
        </w:rPr>
        <w:t>Índice</w:t>
      </w:r>
    </w:p>
    <w:p w:rsidR="005B5CE3" w:rsidRDefault="00642485">
      <w:pPr>
        <w:pStyle w:val="Standard"/>
        <w:spacing w:after="200"/>
      </w:pPr>
      <w:r>
        <w:rPr>
          <w:b/>
        </w:rPr>
        <w:t>Prólogo</w:t>
      </w:r>
    </w:p>
    <w:p w:rsidR="005B5CE3" w:rsidRDefault="00642485">
      <w:pPr>
        <w:pStyle w:val="Standard"/>
        <w:numPr>
          <w:ilvl w:val="0"/>
          <w:numId w:val="9"/>
        </w:numPr>
        <w:ind w:left="284" w:hanging="360"/>
      </w:pPr>
      <w:r>
        <w:rPr>
          <w:b/>
        </w:rPr>
        <w:t>Presentación del Plan</w:t>
      </w:r>
    </w:p>
    <w:p w:rsidR="005B5CE3" w:rsidRDefault="00642485">
      <w:pPr>
        <w:pStyle w:val="Standard"/>
        <w:numPr>
          <w:ilvl w:val="0"/>
          <w:numId w:val="2"/>
        </w:numPr>
        <w:ind w:left="284" w:hanging="360"/>
      </w:pPr>
      <w:r>
        <w:rPr>
          <w:b/>
        </w:rPr>
        <w:t>Marco conceptual</w:t>
      </w:r>
      <w:r>
        <w:rPr>
          <w:b/>
        </w:rPr>
        <w:t xml:space="preserve"> de la primera infancia, infancia y adolescencia</w:t>
      </w:r>
    </w:p>
    <w:p w:rsidR="005B5CE3" w:rsidRDefault="00642485">
      <w:pPr>
        <w:pStyle w:val="Standard"/>
      </w:pPr>
      <w:r>
        <w:rPr>
          <w:b/>
        </w:rPr>
        <w:t>2.1</w:t>
      </w:r>
      <w:r>
        <w:t xml:space="preserve"> Concepción actual de infancia y adolescencia</w:t>
      </w:r>
    </w:p>
    <w:p w:rsidR="005B5CE3" w:rsidRDefault="00642485">
      <w:pPr>
        <w:pStyle w:val="Standard"/>
      </w:pPr>
      <w:r>
        <w:rPr>
          <w:b/>
        </w:rPr>
        <w:t>2.2</w:t>
      </w:r>
      <w:r>
        <w:t xml:space="preserve"> Situación de la normativa</w:t>
      </w:r>
    </w:p>
    <w:p w:rsidR="005B5CE3" w:rsidRDefault="00642485">
      <w:pPr>
        <w:pStyle w:val="Standard"/>
      </w:pPr>
      <w:r>
        <w:rPr>
          <w:b/>
        </w:rPr>
        <w:t>2.3</w:t>
      </w:r>
      <w:r>
        <w:t xml:space="preserve"> Por qué invertir y desarrollar políticas de primera infancia, infancia y adolescencia</w:t>
      </w:r>
    </w:p>
    <w:p w:rsidR="005B5CE3" w:rsidRDefault="005B5CE3">
      <w:pPr>
        <w:pStyle w:val="Standard"/>
      </w:pPr>
    </w:p>
    <w:p w:rsidR="005B5CE3" w:rsidRDefault="00642485">
      <w:pPr>
        <w:pStyle w:val="Standard"/>
      </w:pPr>
      <w:r>
        <w:rPr>
          <w:b/>
        </w:rPr>
        <w:t>3. Diagnóstic</w:t>
      </w:r>
      <w:r>
        <w:rPr>
          <w:b/>
        </w:rPr>
        <w:t>o de la primera infanc</w:t>
      </w:r>
      <w:r>
        <w:rPr>
          <w:b/>
        </w:rPr>
        <w:t>ia, infancia y adolescencia y de la oferta programática.</w:t>
      </w:r>
    </w:p>
    <w:p w:rsidR="005B5CE3" w:rsidRDefault="00642485">
      <w:pPr>
        <w:pStyle w:val="Standard"/>
      </w:pPr>
      <w:r>
        <w:rPr>
          <w:b/>
        </w:rPr>
        <w:t xml:space="preserve">3.1 </w:t>
      </w:r>
      <w:r>
        <w:t>Caracterización sociodemográfica para las tres poblaciones</w:t>
      </w:r>
    </w:p>
    <w:p w:rsidR="005B5CE3" w:rsidRDefault="00642485">
      <w:pPr>
        <w:pStyle w:val="Standard"/>
      </w:pPr>
      <w:r>
        <w:rPr>
          <w:b/>
        </w:rPr>
        <w:t>3.2</w:t>
      </w:r>
      <w:r>
        <w:t xml:space="preserve"> Situación de la primera infancia</w:t>
      </w:r>
    </w:p>
    <w:p w:rsidR="005B5CE3" w:rsidRDefault="00642485">
      <w:pPr>
        <w:pStyle w:val="Standard"/>
      </w:pPr>
      <w:r>
        <w:rPr>
          <w:b/>
        </w:rPr>
        <w:t>3.3</w:t>
      </w:r>
      <w:r>
        <w:t xml:space="preserve"> Situación de la infancia</w:t>
      </w:r>
    </w:p>
    <w:p w:rsidR="005B5CE3" w:rsidRDefault="00642485">
      <w:pPr>
        <w:pStyle w:val="Standard"/>
      </w:pPr>
      <w:r>
        <w:rPr>
          <w:b/>
        </w:rPr>
        <w:t>3.4</w:t>
      </w:r>
      <w:r>
        <w:t xml:space="preserve"> Situación de la adolescencia</w:t>
      </w:r>
    </w:p>
    <w:p w:rsidR="005B5CE3" w:rsidRDefault="00642485">
      <w:pPr>
        <w:pStyle w:val="Standard"/>
      </w:pPr>
      <w:r>
        <w:rPr>
          <w:b/>
        </w:rPr>
        <w:t xml:space="preserve">3.5 </w:t>
      </w:r>
      <w:r>
        <w:t>Las respuestas existentes: situación de las políticas de primera infancia, infancia y adolescencia</w:t>
      </w:r>
    </w:p>
    <w:p w:rsidR="005B5CE3" w:rsidRDefault="00642485">
      <w:pPr>
        <w:pStyle w:val="Standard"/>
        <w:numPr>
          <w:ilvl w:val="0"/>
          <w:numId w:val="10"/>
        </w:numPr>
        <w:ind w:left="720" w:hanging="360"/>
      </w:pPr>
      <w:r>
        <w:t>Gasto social en primera infancia, infancia y adolescencia</w:t>
      </w:r>
    </w:p>
    <w:p w:rsidR="005B5CE3" w:rsidRDefault="00642485">
      <w:pPr>
        <w:pStyle w:val="Standard"/>
        <w:numPr>
          <w:ilvl w:val="0"/>
          <w:numId w:val="5"/>
        </w:numPr>
        <w:ind w:left="720" w:hanging="360"/>
      </w:pPr>
      <w:r>
        <w:t xml:space="preserve">Evolución de las políticas públicas </w:t>
      </w:r>
      <w:r>
        <w:t>para los tres ciclos de vida</w:t>
      </w:r>
    </w:p>
    <w:p w:rsidR="005B5CE3" w:rsidRDefault="005B5CE3">
      <w:pPr>
        <w:pStyle w:val="Standard"/>
        <w:spacing w:after="200"/>
      </w:pPr>
    </w:p>
    <w:p w:rsidR="005B5CE3" w:rsidRDefault="00642485">
      <w:pPr>
        <w:pStyle w:val="Standard"/>
        <w:spacing w:after="200"/>
      </w:pPr>
      <w:r>
        <w:rPr>
          <w:b/>
        </w:rPr>
        <w:t>4. Principios orientadores</w:t>
      </w:r>
    </w:p>
    <w:p w:rsidR="005B5CE3" w:rsidRDefault="00642485">
      <w:pPr>
        <w:pStyle w:val="Standard"/>
      </w:pPr>
      <w:r>
        <w:rPr>
          <w:b/>
        </w:rPr>
        <w:t>4.1</w:t>
      </w:r>
      <w:r>
        <w:t xml:space="preserve"> Derechos de Niños, Niñas y Adolescentes</w:t>
      </w:r>
    </w:p>
    <w:p w:rsidR="005B5CE3" w:rsidRDefault="00642485">
      <w:pPr>
        <w:pStyle w:val="Standard"/>
      </w:pPr>
      <w:r>
        <w:rPr>
          <w:b/>
        </w:rPr>
        <w:lastRenderedPageBreak/>
        <w:t>4.</w:t>
      </w:r>
      <w:r>
        <w:rPr>
          <w:b/>
        </w:rPr>
        <w:t>2</w:t>
      </w:r>
      <w:r>
        <w:rPr>
          <w:b/>
        </w:rPr>
        <w:t xml:space="preserve"> </w:t>
      </w:r>
      <w:r>
        <w:t>Universalidad</w:t>
      </w:r>
    </w:p>
    <w:p w:rsidR="005B5CE3" w:rsidRDefault="00642485">
      <w:pPr>
        <w:pStyle w:val="Standard"/>
      </w:pPr>
      <w:r>
        <w:rPr>
          <w:b/>
        </w:rPr>
        <w:t>4.</w:t>
      </w:r>
      <w:r>
        <w:rPr>
          <w:b/>
        </w:rPr>
        <w:t>3</w:t>
      </w:r>
      <w:r>
        <w:rPr>
          <w:b/>
        </w:rPr>
        <w:t xml:space="preserve"> </w:t>
      </w:r>
      <w:r>
        <w:t xml:space="preserve"> Enfoques metodológicos</w:t>
      </w:r>
    </w:p>
    <w:p w:rsidR="005B5CE3" w:rsidRDefault="00642485">
      <w:pPr>
        <w:pStyle w:val="Standard"/>
        <w:numPr>
          <w:ilvl w:val="0"/>
          <w:numId w:val="11"/>
        </w:numPr>
        <w:ind w:left="720" w:hanging="360"/>
      </w:pPr>
      <w:r>
        <w:t>La mirada de trayectorias de vida</w:t>
      </w:r>
    </w:p>
    <w:p w:rsidR="005B5CE3" w:rsidRDefault="00642485">
      <w:pPr>
        <w:pStyle w:val="Standard"/>
        <w:numPr>
          <w:ilvl w:val="0"/>
          <w:numId w:val="1"/>
        </w:numPr>
        <w:ind w:left="720" w:hanging="360"/>
      </w:pPr>
      <w:r>
        <w:t>El trabajo con las familias</w:t>
      </w:r>
    </w:p>
    <w:p w:rsidR="005B5CE3" w:rsidRDefault="00642485">
      <w:pPr>
        <w:pStyle w:val="Standard"/>
        <w:numPr>
          <w:ilvl w:val="0"/>
          <w:numId w:val="1"/>
        </w:numPr>
        <w:ind w:left="720" w:hanging="360"/>
      </w:pPr>
      <w:r>
        <w:t>Comunidad y territorio</w:t>
      </w:r>
    </w:p>
    <w:p w:rsidR="005B5CE3" w:rsidRDefault="00642485">
      <w:pPr>
        <w:pStyle w:val="Standard"/>
        <w:numPr>
          <w:ilvl w:val="0"/>
          <w:numId w:val="1"/>
        </w:numPr>
        <w:ind w:left="720" w:hanging="360"/>
      </w:pPr>
      <w:r>
        <w:t>La articulación, coordi</w:t>
      </w:r>
      <w:r>
        <w:t>nación y complementariedad.</w:t>
      </w:r>
    </w:p>
    <w:p w:rsidR="005B5CE3" w:rsidRDefault="00642485">
      <w:pPr>
        <w:pStyle w:val="Standard"/>
        <w:spacing w:after="200"/>
      </w:pPr>
      <w:r>
        <w:rPr>
          <w:b/>
        </w:rPr>
        <w:t>5. Acciones del Plan Nacional de Primera Infancia, Infancia y Adolescencia</w:t>
      </w:r>
    </w:p>
    <w:p w:rsidR="005B5CE3" w:rsidRDefault="00642485">
      <w:pPr>
        <w:pStyle w:val="Standard"/>
        <w:spacing w:after="200"/>
      </w:pPr>
      <w:r>
        <w:rPr>
          <w:b/>
        </w:rPr>
        <w:t>5.1</w:t>
      </w:r>
      <w:r>
        <w:t xml:space="preserve"> </w:t>
      </w:r>
      <w:r>
        <w:t>Descripción</w:t>
      </w:r>
      <w:r>
        <w:t xml:space="preserve"> de los lineamientos estratégicos del Plan</w:t>
      </w:r>
    </w:p>
    <w:p w:rsidR="005B5CE3" w:rsidRDefault="00642485">
      <w:pPr>
        <w:pStyle w:val="Standard"/>
        <w:numPr>
          <w:ilvl w:val="0"/>
          <w:numId w:val="12"/>
        </w:numPr>
        <w:ind w:left="720" w:hanging="360"/>
      </w:pPr>
      <w:r>
        <w:t>Asegurar el desarrollo integral mediante la promoción, prevención, tratamiento, rehabilitación en salud.</w:t>
      </w:r>
    </w:p>
    <w:p w:rsidR="005B5CE3" w:rsidRDefault="00642485">
      <w:pPr>
        <w:pStyle w:val="Standard"/>
        <w:numPr>
          <w:ilvl w:val="0"/>
          <w:numId w:val="6"/>
        </w:numPr>
        <w:ind w:left="720" w:hanging="360"/>
      </w:pPr>
      <w:r>
        <w:t>Garantizar trayectorias educativas continuas para el desarrollo e inclusión social.</w:t>
      </w:r>
    </w:p>
    <w:p w:rsidR="005B5CE3" w:rsidRDefault="00642485">
      <w:pPr>
        <w:pStyle w:val="Standard"/>
        <w:numPr>
          <w:ilvl w:val="0"/>
          <w:numId w:val="6"/>
        </w:numPr>
        <w:ind w:left="720" w:hanging="360"/>
      </w:pPr>
      <w:r>
        <w:t>Prevención</w:t>
      </w:r>
      <w:r>
        <w:t>, detección, atención a las diferentes tipos de violencia.</w:t>
      </w:r>
    </w:p>
    <w:p w:rsidR="005B5CE3" w:rsidRDefault="00642485">
      <w:pPr>
        <w:pStyle w:val="Standard"/>
        <w:numPr>
          <w:ilvl w:val="0"/>
          <w:numId w:val="6"/>
        </w:numPr>
        <w:ind w:left="720" w:hanging="360"/>
      </w:pPr>
      <w:r>
        <w:t>Disminuir situaciones de especial vulnerabilidad, calle, trabajo infantil, conflicto con la ley penal, institucionalización por falta de protección familiar.</w:t>
      </w:r>
    </w:p>
    <w:p w:rsidR="005B5CE3" w:rsidRDefault="00642485">
      <w:pPr>
        <w:pStyle w:val="Standard"/>
        <w:numPr>
          <w:ilvl w:val="0"/>
          <w:numId w:val="6"/>
        </w:numPr>
        <w:ind w:left="720" w:hanging="360"/>
      </w:pPr>
      <w:r>
        <w:t xml:space="preserve">Promover la participación y el </w:t>
      </w:r>
      <w:r>
        <w:t>ejercicio del derecho a la ciudad y el acceso y uso de bienes culturales.</w:t>
      </w:r>
    </w:p>
    <w:p w:rsidR="005B5CE3" w:rsidRDefault="00642485">
      <w:pPr>
        <w:pStyle w:val="Standard"/>
        <w:numPr>
          <w:ilvl w:val="0"/>
          <w:numId w:val="6"/>
        </w:numPr>
        <w:ind w:left="720" w:hanging="360"/>
      </w:pPr>
      <w:r>
        <w:t>Acceso a la justicia</w:t>
      </w:r>
    </w:p>
    <w:p w:rsidR="005B5CE3" w:rsidRDefault="005B5CE3">
      <w:pPr>
        <w:pStyle w:val="Standard"/>
      </w:pPr>
    </w:p>
    <w:p w:rsidR="005B5CE3" w:rsidRDefault="00642485">
      <w:pPr>
        <w:pStyle w:val="Standard"/>
        <w:spacing w:after="200"/>
      </w:pPr>
      <w:r>
        <w:rPr>
          <w:b/>
        </w:rPr>
        <w:t xml:space="preserve">5.2 </w:t>
      </w:r>
      <w:r>
        <w:t>Análisis transversal del Plan</w:t>
      </w:r>
    </w:p>
    <w:p w:rsidR="005B5CE3" w:rsidRDefault="00642485">
      <w:pPr>
        <w:pStyle w:val="Standard"/>
        <w:spacing w:after="200"/>
      </w:pPr>
      <w:r>
        <w:rPr>
          <w:b/>
        </w:rPr>
        <w:t>5.3</w:t>
      </w:r>
      <w:r>
        <w:t xml:space="preserve"> </w:t>
      </w:r>
      <w:r>
        <w:t>Matrices</w:t>
      </w:r>
      <w:r>
        <w:t xml:space="preserve"> por ciclo de vida</w:t>
      </w:r>
    </w:p>
    <w:p w:rsidR="005B5CE3" w:rsidRDefault="00642485">
      <w:pPr>
        <w:pStyle w:val="Standard"/>
        <w:spacing w:after="200"/>
      </w:pPr>
      <w:r>
        <w:rPr>
          <w:b/>
        </w:rPr>
        <w:t>6. Propuesta de monitoreo y seguimiento del Plan</w:t>
      </w:r>
    </w:p>
    <w:p w:rsidR="005B5CE3" w:rsidRDefault="00642485">
      <w:pPr>
        <w:pStyle w:val="Standard"/>
        <w:spacing w:after="200"/>
      </w:pPr>
      <w:r>
        <w:rPr>
          <w:b/>
        </w:rPr>
        <w:t xml:space="preserve">7. Reflexiones y desafíos </w:t>
      </w:r>
      <w:r>
        <w:t xml:space="preserve"> </w:t>
      </w:r>
    </w:p>
    <w:p w:rsidR="005B5CE3" w:rsidRDefault="00642485">
      <w:pPr>
        <w:pStyle w:val="Standard"/>
        <w:spacing w:after="200"/>
      </w:pPr>
      <w:r>
        <w:rPr>
          <w:b/>
        </w:rPr>
        <w:t>8. Bibliografía</w:t>
      </w:r>
    </w:p>
    <w:p w:rsidR="005B5CE3" w:rsidRDefault="005B5CE3">
      <w:pPr>
        <w:pStyle w:val="Standard"/>
      </w:pPr>
    </w:p>
    <w:p w:rsidR="005B5CE3" w:rsidRDefault="005B5CE3">
      <w:pPr>
        <w:pStyle w:val="Standard"/>
      </w:pPr>
    </w:p>
    <w:p w:rsidR="005B5CE3" w:rsidRDefault="005B5CE3">
      <w:pPr>
        <w:pStyle w:val="Standard"/>
      </w:pPr>
    </w:p>
    <w:p w:rsidR="005B5CE3" w:rsidRDefault="005B5CE3">
      <w:pPr>
        <w:pStyle w:val="Standard"/>
      </w:pPr>
    </w:p>
    <w:p w:rsidR="005B5CE3" w:rsidRDefault="005B5CE3">
      <w:pPr>
        <w:pStyle w:val="Standard"/>
      </w:pPr>
    </w:p>
    <w:p w:rsidR="005B5CE3" w:rsidRDefault="005B5CE3">
      <w:pPr>
        <w:pStyle w:val="Standard"/>
      </w:pPr>
    </w:p>
    <w:p w:rsidR="005B5CE3" w:rsidRDefault="005B5CE3">
      <w:pPr>
        <w:pStyle w:val="Standard"/>
        <w:pageBreakBefore/>
      </w:pPr>
    </w:p>
    <w:p w:rsidR="005B5CE3" w:rsidRDefault="005B5CE3">
      <w:pPr>
        <w:pStyle w:val="Standard"/>
      </w:pPr>
    </w:p>
    <w:p w:rsidR="005B5CE3" w:rsidRDefault="00642485">
      <w:pPr>
        <w:pStyle w:val="Standard"/>
      </w:pPr>
      <w:r>
        <w:rPr>
          <w:b/>
        </w:rPr>
        <w:t>Plan de acción de primera infancia, infancia y adolescencia 2015 – 2020</w:t>
      </w:r>
    </w:p>
    <w:p w:rsidR="005B5CE3" w:rsidRDefault="005B5CE3">
      <w:pPr>
        <w:pStyle w:val="Standard"/>
      </w:pPr>
    </w:p>
    <w:p w:rsidR="005B5CE3" w:rsidRDefault="00642485">
      <w:pPr>
        <w:pStyle w:val="Standard"/>
      </w:pPr>
      <w:r>
        <w:rPr>
          <w:b/>
        </w:rPr>
        <w:t>Prólogo</w:t>
      </w:r>
    </w:p>
    <w:p w:rsidR="005B5CE3" w:rsidRDefault="005B5CE3">
      <w:pPr>
        <w:pStyle w:val="Standard"/>
      </w:pPr>
    </w:p>
    <w:p w:rsidR="005B5CE3" w:rsidRDefault="005B5CE3">
      <w:pPr>
        <w:pStyle w:val="Standard"/>
      </w:pPr>
    </w:p>
    <w:p w:rsidR="005B5CE3" w:rsidRDefault="00642485">
      <w:pPr>
        <w:pStyle w:val="Standard"/>
        <w:numPr>
          <w:ilvl w:val="0"/>
          <w:numId w:val="13"/>
        </w:numPr>
        <w:ind w:left="405" w:hanging="360"/>
      </w:pPr>
      <w:r>
        <w:rPr>
          <w:b/>
        </w:rPr>
        <w:t>Presentación del Plan</w:t>
      </w:r>
    </w:p>
    <w:p w:rsidR="005B5CE3" w:rsidRDefault="005B5CE3">
      <w:pPr>
        <w:pStyle w:val="Standard"/>
      </w:pPr>
    </w:p>
    <w:p w:rsidR="005B5CE3" w:rsidRDefault="00642485">
      <w:pPr>
        <w:pStyle w:val="Standard"/>
      </w:pPr>
      <w:r>
        <w:t xml:space="preserve">En el nuevo período de gobierno en el año 2015, encabezado por el Dr. Tabaré Vázquez, se define dar prioridad política a la primera infancia, </w:t>
      </w:r>
      <w:r>
        <w:t>infancia y adolescencia, considerando su importancia en el desarrollo de una sociedad igualitaria, saludable, educativa y productiva.</w:t>
      </w:r>
    </w:p>
    <w:p w:rsidR="005B5CE3" w:rsidRDefault="005B5CE3">
      <w:pPr>
        <w:pStyle w:val="Standard"/>
      </w:pPr>
    </w:p>
    <w:p w:rsidR="005B5CE3" w:rsidRDefault="00642485">
      <w:pPr>
        <w:pStyle w:val="Standard"/>
      </w:pPr>
      <w:r>
        <w:t xml:space="preserve">El presente </w:t>
      </w:r>
      <w:r>
        <w:rPr>
          <w:i/>
          <w:sz w:val="22"/>
          <w:szCs w:val="22"/>
        </w:rPr>
        <w:t>Plan Nacional de Primera Infancia, Infancia y Adolescencia 2015–2020</w:t>
      </w:r>
      <w:r>
        <w:rPr>
          <w:sz w:val="22"/>
          <w:szCs w:val="22"/>
        </w:rPr>
        <w:t xml:space="preserve">, se enmarca en el proceso que el </w:t>
      </w:r>
      <w:r>
        <w:rPr>
          <w:sz w:val="22"/>
          <w:szCs w:val="22"/>
        </w:rPr>
        <w:t>gobierno trazó desde la elaboración de la Estrategia Nacional para la Infancia y la Adolescencia (ENIA) 2010–2030. La construcción de la ENIA se caracterizó por su pluralidad ya que en su diseño participaron instituciones del Estado, sociedad civil, partid</w:t>
      </w:r>
      <w:r>
        <w:rPr>
          <w:sz w:val="22"/>
          <w:szCs w:val="22"/>
        </w:rPr>
        <w:t>os políticos, academia, sistema de las Naciones Unidas y niños, niñas y adolescentes cuya opinión fue consultada a través de la consulta realizada a nivel nacional “Opino y vale”. Se destacó por su mirada prospectiva al año 2030, trazando políticas de medi</w:t>
      </w:r>
      <w:r>
        <w:rPr>
          <w:sz w:val="22"/>
          <w:szCs w:val="22"/>
        </w:rPr>
        <w:t xml:space="preserve">ano y largo plazo en el entendido de que los problemas que viven los niños, niñas y adolescentes del país y las respuestas que el Estado da a los mismos, requieren de acuerdos que superen el período concreto. De este modo, pretendió trascender las agendas </w:t>
      </w:r>
      <w:r>
        <w:rPr>
          <w:sz w:val="22"/>
          <w:szCs w:val="22"/>
        </w:rPr>
        <w:t xml:space="preserve">quinquenales de gobierno y sentar las bases para las políticas de los siguientes 20 años. Para esto, realizó estudios de sustentabilidad social, democrática y demográfica. De este modo, la Estrategia constituye un hito en lo que refiere a las políticas de </w:t>
      </w:r>
      <w:r>
        <w:rPr>
          <w:sz w:val="22"/>
          <w:szCs w:val="22"/>
        </w:rPr>
        <w:t>primera infancia, infancia y adolescencia, por los consensos que logró en su etapa de diseño, por su orientación de corto y mediano plazo, por su enfoque integral, y por su énfasis en los ciclos de vida en tanto trayectorias continuas con necesidades espec</w:t>
      </w:r>
      <w:r>
        <w:rPr>
          <w:sz w:val="22"/>
          <w:szCs w:val="22"/>
        </w:rPr>
        <w:t>íficas en cada una de las etapas (embarazo y primera infancia, infancia y adolescencia) a las que las políticas deben dar respuestas.</w:t>
      </w:r>
    </w:p>
    <w:p w:rsidR="005B5CE3" w:rsidRDefault="005B5CE3">
      <w:pPr>
        <w:pStyle w:val="Standard"/>
      </w:pPr>
    </w:p>
    <w:p w:rsidR="005B5CE3" w:rsidRDefault="00642485">
      <w:pPr>
        <w:pStyle w:val="Standard"/>
      </w:pPr>
      <w:r>
        <w:rPr>
          <w:sz w:val="22"/>
          <w:szCs w:val="22"/>
        </w:rPr>
        <w:t xml:space="preserve">Para este período de gobierno en materia de desarrollo y bienestar social el país se encuentra elaborando una estrategia </w:t>
      </w:r>
      <w:r>
        <w:rPr>
          <w:sz w:val="22"/>
          <w:szCs w:val="22"/>
        </w:rPr>
        <w:t>denominada Estrategia Nacional de Desarrollo y Bienestar Social (ENDBS) impulsada por el Consejo Nacional de Políticas Sociales (CNPS). El objetivo de la ENDBS es profundizar y reforzar el proceso de configuración de la matriz de protección y bienestar soc</w:t>
      </w:r>
      <w:r>
        <w:rPr>
          <w:sz w:val="22"/>
          <w:szCs w:val="22"/>
        </w:rPr>
        <w:t xml:space="preserve">ial, en pos de fortalecer la respuesta del Estado y garantizar el conjunto de derechos para todas las personas. En ese marco, dando continuidad al proceso iniciado en el 2010, en este nuevo período de gobierno, se instala la </w:t>
      </w:r>
      <w:r>
        <w:rPr>
          <w:i/>
          <w:sz w:val="22"/>
          <w:szCs w:val="22"/>
        </w:rPr>
        <w:t>Comisión de Primera Infancia, I</w:t>
      </w:r>
      <w:r>
        <w:rPr>
          <w:i/>
          <w:sz w:val="22"/>
          <w:szCs w:val="22"/>
        </w:rPr>
        <w:t>nfancia y Adolescencia</w:t>
      </w:r>
      <w:r>
        <w:rPr>
          <w:sz w:val="22"/>
          <w:szCs w:val="22"/>
        </w:rPr>
        <w:t xml:space="preserve"> en el marco del Consejo </w:t>
      </w:r>
      <w:r>
        <w:rPr>
          <w:sz w:val="22"/>
          <w:szCs w:val="22"/>
        </w:rPr>
        <w:lastRenderedPageBreak/>
        <w:t>Nacional de Políticas Sociales, liderada por el INAU y las Direcciones de Políticas Sociales y Uruguay Crece Contigo del MIDES. La misma es de carácter inter-institucional co-liderada por la Dirección Nacional</w:t>
      </w:r>
      <w:r>
        <w:rPr>
          <w:sz w:val="22"/>
          <w:szCs w:val="22"/>
        </w:rPr>
        <w:t xml:space="preserve"> de Políticas Sociales (DNPS), la Dirección de Uruguay Crece Contigo (UCC) y el Instituto del Niño y Adolescente del Uruguay (INAU) e integrada, además, por Ministerio de Salud Pública (MSP), Administración de Servicios de Salud del Estado (ASSE), Minister</w:t>
      </w:r>
      <w:r>
        <w:rPr>
          <w:sz w:val="22"/>
          <w:szCs w:val="22"/>
        </w:rPr>
        <w:t xml:space="preserve">io de Educación y Cultura (MEC), Administración Nacional de Educación Pública (ANEP), Consejo de Educación Inicial y Primaria (CEIP), Consejo de Educación Técnico Profesional (CETP), Consejo de Educación Secundaria (CES), Ministerio de Trabajo y Seguridad </w:t>
      </w:r>
      <w:r>
        <w:rPr>
          <w:sz w:val="22"/>
          <w:szCs w:val="22"/>
        </w:rPr>
        <w:t>Social (MTSS), Instituto Nacional de la Juventud (INJU), Secretaría Nacional de Deporte (SND), Congreso de Intendentes, Secretaría Nacional de Cuidados (SNC), la Oficina de Planeamiento y Presupuesto (OPP) y el Ministerio de Desarrollo Social (MIDES).</w:t>
      </w:r>
    </w:p>
    <w:p w:rsidR="005B5CE3" w:rsidRDefault="005B5CE3">
      <w:pPr>
        <w:pStyle w:val="Standard"/>
      </w:pPr>
    </w:p>
    <w:p w:rsidR="005B5CE3" w:rsidRDefault="00642485">
      <w:pPr>
        <w:pStyle w:val="Standard"/>
      </w:pPr>
      <w:r>
        <w:rPr>
          <w:sz w:val="22"/>
          <w:szCs w:val="22"/>
        </w:rPr>
        <w:t xml:space="preserve">La </w:t>
      </w:r>
      <w:r>
        <w:rPr>
          <w:sz w:val="22"/>
          <w:szCs w:val="22"/>
        </w:rPr>
        <w:t>Comisión trabajó en torno a la elaboración del presente Plan de Primera Infancia, Infancia y Adolescencia para el período 2015-2020. Este Plan es la síntesis de un proceso de diálogo interinstitucional que partió del conocimiento existente sobre la situaci</w:t>
      </w:r>
      <w:r>
        <w:rPr>
          <w:sz w:val="22"/>
          <w:szCs w:val="22"/>
        </w:rPr>
        <w:t>ón de la primera infancia, infancia y adolescencia del Uruguay, buscando generar respuestas de manera articulada e integral ante las problemáticas identificadas. En este sentido, este plan pretende trazar el rumbo de las acciones que se desarrollarán en es</w:t>
      </w:r>
      <w:r>
        <w:rPr>
          <w:sz w:val="22"/>
          <w:szCs w:val="22"/>
        </w:rPr>
        <w:t>te período de gobierno, constituyendo un marco para el desarrollo de las políticas dirigidas a la primera infancia, infancia y adolescencia. Presenta las acciones e innovaciones estatales dirigidas a estas poblaciones con el objetivo de dar respuesta en fo</w:t>
      </w:r>
      <w:r>
        <w:rPr>
          <w:sz w:val="22"/>
          <w:szCs w:val="22"/>
        </w:rPr>
        <w:t>rma integral e interinstitucional a las principales desigualdades y problemáticas que aún persisten para garantizar una mejora en su calidad de vida y asegurar las condiciones para su desarrollo adecuado.</w:t>
      </w:r>
    </w:p>
    <w:p w:rsidR="005B5CE3" w:rsidRDefault="005B5CE3">
      <w:pPr>
        <w:pStyle w:val="Standard"/>
      </w:pPr>
    </w:p>
    <w:p w:rsidR="005B5CE3" w:rsidRDefault="00642485">
      <w:pPr>
        <w:pStyle w:val="Standard"/>
      </w:pPr>
      <w:r>
        <w:rPr>
          <w:sz w:val="22"/>
          <w:szCs w:val="22"/>
        </w:rPr>
        <w:t>Durante el proceso de elaboración del plan se real</w:t>
      </w:r>
      <w:r>
        <w:rPr>
          <w:sz w:val="22"/>
          <w:szCs w:val="22"/>
        </w:rPr>
        <w:t>izaron reuniones de trabajo con representantes del Poder Judicial, Organizaciones de la Sociedad Civil (ANONG, AUDEC, Comité de Derechos del Niño), Instituto Pediátrico Luis Morquio y UNICEF en su calidad de integrantes del Consejo Nacional Consultivo Hono</w:t>
      </w:r>
      <w:r>
        <w:rPr>
          <w:sz w:val="22"/>
          <w:szCs w:val="22"/>
        </w:rPr>
        <w:t>rario de los Derechos del Niño y Adolescente. Dicho proceso de intercambio permitió incorporar la mirada de estos actores claves en el país así como sus aportes para el diseño e implementación de políticas.</w:t>
      </w:r>
    </w:p>
    <w:p w:rsidR="005B5CE3" w:rsidRDefault="005B5CE3">
      <w:pPr>
        <w:pStyle w:val="Standard"/>
      </w:pPr>
    </w:p>
    <w:p w:rsidR="005B5CE3" w:rsidRDefault="00642485">
      <w:pPr>
        <w:pStyle w:val="Standard"/>
      </w:pPr>
      <w:r>
        <w:rPr>
          <w:sz w:val="22"/>
          <w:szCs w:val="22"/>
        </w:rPr>
        <w:t>En los últimos 10 años, el país ha registrado un</w:t>
      </w:r>
      <w:r>
        <w:rPr>
          <w:sz w:val="22"/>
          <w:szCs w:val="22"/>
        </w:rPr>
        <w:t xml:space="preserve"> incremento del gasto público social (GPS) en términos generales acumulado del 2005 al 2013 de 101,1%, al mismo que una re orientación dirigida a políticas de primera infancia, infancia y adolescencia. La implementación de las reformas en el sistema de sal</w:t>
      </w:r>
      <w:r>
        <w:rPr>
          <w:sz w:val="22"/>
          <w:szCs w:val="22"/>
        </w:rPr>
        <w:t>ud, la reforma tributaria, el nuevo régimen de asignaciones familiares y el fortalecimiento de la oferta de políticas públicas dirigidas a la franja de 0 a 18 años, explican la reducción de la pobreza y la desigualdad, pasando de un 32,5% en el 2006 al 9,7</w:t>
      </w:r>
      <w:r>
        <w:rPr>
          <w:sz w:val="22"/>
          <w:szCs w:val="22"/>
        </w:rPr>
        <w:t xml:space="preserve"> % en 2014. El incremento en el GPS en los tres ciclos se explica por el incremento del gasto en salud 200% en el período 2005-2013 y en educación 122,4% (DINEM, 2015).</w:t>
      </w:r>
    </w:p>
    <w:p w:rsidR="005B5CE3" w:rsidRDefault="005B5CE3">
      <w:pPr>
        <w:pStyle w:val="Standard"/>
      </w:pPr>
    </w:p>
    <w:p w:rsidR="005B5CE3" w:rsidRDefault="00642485">
      <w:pPr>
        <w:pStyle w:val="Standard"/>
      </w:pPr>
      <w:r>
        <w:rPr>
          <w:sz w:val="22"/>
          <w:szCs w:val="22"/>
        </w:rPr>
        <w:t>No obstante, Uruguay se encuentra frente al desafío de seguir trabajando en las brech</w:t>
      </w:r>
      <w:r>
        <w:rPr>
          <w:sz w:val="22"/>
          <w:szCs w:val="22"/>
        </w:rPr>
        <w:t xml:space="preserve">as que aún persisten en el acceso al bienestar y la protección social. Tal como plantea Rossel, (CEPAL 2013) a pesar del crecimiento del nivel de inversión en la infancia que ha realizado América Latina y el despliegue de políticas que ha habido para esta </w:t>
      </w:r>
      <w:r>
        <w:rPr>
          <w:sz w:val="22"/>
          <w:szCs w:val="22"/>
        </w:rPr>
        <w:t xml:space="preserve">población, en la región existen determinados aspectos demográficos y laborales estructurales que sostienen los sesgos de pobreza en la infancia, ya que en la mayoría de los países de la región la reducción de la pobreza de este grupo de edad fue menor que </w:t>
      </w:r>
      <w:r>
        <w:rPr>
          <w:sz w:val="22"/>
          <w:szCs w:val="22"/>
        </w:rPr>
        <w:t xml:space="preserve">en la población general. Para la autora, la estratificación de la disminución de la fecundidad, la pobreza de los hogares con jefatura femenina, la carga del cuidado infantil en las mujeres de menores ingresos, la informalidad en el trabajo -especialmente </w:t>
      </w:r>
      <w:r>
        <w:rPr>
          <w:sz w:val="22"/>
          <w:szCs w:val="22"/>
        </w:rPr>
        <w:t>de las mujeres-, las dificultades del ingreso al mercado laboral de las mujeres pobres con hijos, la precariedad de las transiciones a la adultez, y rejuvenecimiento de la edad de maternidad evidencian la debilidad de los sistemas de protección social para</w:t>
      </w:r>
      <w:r>
        <w:rPr>
          <w:sz w:val="22"/>
          <w:szCs w:val="22"/>
        </w:rPr>
        <w:t xml:space="preserve"> proteger a la población infantil y adolescente.</w:t>
      </w:r>
    </w:p>
    <w:p w:rsidR="005B5CE3" w:rsidRDefault="005B5CE3">
      <w:pPr>
        <w:pStyle w:val="Standard"/>
      </w:pPr>
    </w:p>
    <w:p w:rsidR="005B5CE3" w:rsidRDefault="00642485">
      <w:pPr>
        <w:pStyle w:val="Standard"/>
      </w:pPr>
      <w:r>
        <w:t>De esta manera, este plan coloca el énfasis en dar un salto cualitativo en el diseño, gestión e implementación en políticas de infancia y adolescencia que permita garantizar todos los derechos y oportunidad</w:t>
      </w:r>
      <w:r>
        <w:t xml:space="preserve">es, desde el comienzo de la vida. </w:t>
      </w:r>
      <w:r>
        <w:rPr>
          <w:sz w:val="22"/>
          <w:szCs w:val="22"/>
        </w:rPr>
        <w:t>Las acciones incluidas se estructuran en torno a lineamientos estratégicos que se encuentran en consonancia con la Convención sobre los Derechos del Niño. De esta manera, se busca reflejar las prioridades, así como las pri</w:t>
      </w:r>
      <w:r>
        <w:rPr>
          <w:sz w:val="22"/>
          <w:szCs w:val="22"/>
        </w:rPr>
        <w:t>ncipales articulaciones interinstitucionales necesarias para la gestión eficiente de las políticas dirigidas a estos ciclos de vida.</w:t>
      </w:r>
    </w:p>
    <w:p w:rsidR="005B5CE3" w:rsidRDefault="005B5CE3">
      <w:pPr>
        <w:pStyle w:val="Standard"/>
      </w:pPr>
    </w:p>
    <w:p w:rsidR="005B5CE3" w:rsidRDefault="00642485">
      <w:pPr>
        <w:pStyle w:val="Standard"/>
      </w:pPr>
      <w:r>
        <w:t>El objetivo del plan es orientar la políticas de primera infancia, infancia y adolescencia en una estrategia común como E</w:t>
      </w:r>
      <w:r>
        <w:t>stado, que marque un norte claro en avanzar en el bienestar  con énfasis en la trayectorias de vida, el trabajo con las familias, la comunidad y territorio, la articulación, coordinación y complementariedad.</w:t>
      </w:r>
    </w:p>
    <w:p w:rsidR="005B5CE3" w:rsidRDefault="005B5CE3">
      <w:pPr>
        <w:pStyle w:val="Standard"/>
      </w:pPr>
    </w:p>
    <w:p w:rsidR="005B5CE3" w:rsidRDefault="00642485">
      <w:pPr>
        <w:pStyle w:val="Standard"/>
      </w:pPr>
      <w:r>
        <w:t>El diseño y la implementación de este Plan ha p</w:t>
      </w:r>
      <w:r>
        <w:t>ermitido avanzar en la discusión hacia el sistema de protección integral a la primera infancia, infancia y adolescencia, que era uno de los lineamientos estratégicos ya mencionados en el 2010, por la ENIA. Este será un eje de trabajo, que permitirá avanzar</w:t>
      </w:r>
      <w:r>
        <w:t xml:space="preserve"> en términos de gestión, institucionalidad y normativa.</w:t>
      </w:r>
    </w:p>
    <w:p w:rsidR="005B5CE3" w:rsidRDefault="005B5CE3">
      <w:pPr>
        <w:pStyle w:val="Standard"/>
      </w:pPr>
    </w:p>
    <w:p w:rsidR="005B5CE3" w:rsidRDefault="005B5CE3">
      <w:pPr>
        <w:pStyle w:val="Standard"/>
        <w:spacing w:after="200"/>
      </w:pPr>
    </w:p>
    <w:p w:rsidR="005B5CE3" w:rsidRDefault="00642485">
      <w:pPr>
        <w:pStyle w:val="Standard"/>
        <w:spacing w:after="200"/>
      </w:pPr>
      <w:r>
        <w:rPr>
          <w:b/>
        </w:rPr>
        <w:t xml:space="preserve">2. </w:t>
      </w:r>
      <w:r>
        <w:rPr>
          <w:b/>
        </w:rPr>
        <w:t>Marco conceptual</w:t>
      </w:r>
      <w:r>
        <w:rPr>
          <w:b/>
        </w:rPr>
        <w:t xml:space="preserve"> de la primera infancia, infancia y adolescencia</w:t>
      </w:r>
    </w:p>
    <w:p w:rsidR="005B5CE3" w:rsidRDefault="00642485">
      <w:pPr>
        <w:pStyle w:val="Standard"/>
        <w:spacing w:after="200"/>
      </w:pPr>
      <w:r>
        <w:rPr>
          <w:b/>
        </w:rPr>
        <w:t>2.1. Concepción actual de infancia y adolescencia</w:t>
      </w:r>
    </w:p>
    <w:p w:rsidR="005B5CE3" w:rsidRDefault="00642485">
      <w:pPr>
        <w:pStyle w:val="Standard"/>
        <w:spacing w:after="200"/>
      </w:pPr>
      <w:r>
        <w:rPr>
          <w:b/>
        </w:rPr>
        <w:lastRenderedPageBreak/>
        <w:t>Infancia como construcción social</w:t>
      </w:r>
    </w:p>
    <w:p w:rsidR="005B5CE3" w:rsidRDefault="00642485">
      <w:pPr>
        <w:pStyle w:val="Standard"/>
        <w:spacing w:after="200"/>
      </w:pPr>
      <w:r>
        <w:t xml:space="preserve">La infancia </w:t>
      </w:r>
      <w:r>
        <w:t xml:space="preserve">concebida como la etapa que </w:t>
      </w:r>
      <w:r>
        <w:t xml:space="preserve">transcurre entre </w:t>
      </w:r>
      <w:r>
        <w:t xml:space="preserve"> el nacimiento y los 18 años de edad que posee características que lo diferencian de las demás etapas vitales no siempre existió. Cada momento histórico, cada contexto social, cultural y económico posibilita diferentes formas de visualizar</w:t>
      </w:r>
      <w:r>
        <w:t xml:space="preserve"> la infancia. El concepto de infancia se construye básicamente en base a dos componentes: uno social e histórico, que es universal a todos los niños y niñas pertenecientes a una época determinada; y otro individual que refiere a la singularidad, a la const</w:t>
      </w:r>
      <w:r>
        <w:t>rucción subjetiva de cada experiencia infantil. Por lo tanto el concepto de infancia no tiene un significado único, ya que ha cobrado diversos sentidos y significados a lo largo de la historia y en las diferentes culturas.</w:t>
      </w:r>
    </w:p>
    <w:p w:rsidR="005B5CE3" w:rsidRDefault="00642485">
      <w:pPr>
        <w:pStyle w:val="Standard"/>
        <w:spacing w:after="200"/>
      </w:pPr>
      <w:r>
        <w:t>En la modernidad, l</w:t>
      </w:r>
      <w:r>
        <w:t>a infancia adq</w:t>
      </w:r>
      <w:r>
        <w:t>uiere características particulares, consolidando su status como franja etaria diferenciada de la adultez y se convierte en objeto de estudio y de interés de múltiples disciplinas (Carli, 1999). Los cambios demográficos y sociales acontecidos en dicho momen</w:t>
      </w:r>
      <w:r>
        <w:t xml:space="preserve">to histórico referentes a: </w:t>
      </w:r>
      <w:r>
        <w:t xml:space="preserve">la </w:t>
      </w:r>
      <w:r>
        <w:t>prolongación de la vida infantil, la reducción del número de nacimientos, y el surgimiento de un modo hegemónico de organización familiar nuclear, posibilitaron la emergencia de un interés cada vez mayor por la infancia (Ariès</w:t>
      </w:r>
      <w:r>
        <w:t>, 1987).</w:t>
      </w:r>
    </w:p>
    <w:p w:rsidR="005B5CE3" w:rsidRDefault="00642485">
      <w:pPr>
        <w:pStyle w:val="Standard"/>
        <w:spacing w:after="200"/>
      </w:pPr>
      <w:r>
        <w:rPr>
          <w:shd w:val="clear" w:color="auto" w:fill="FFFFFF"/>
        </w:rPr>
        <w:t>En la actualidad l</w:t>
      </w:r>
      <w:r>
        <w:t xml:space="preserve">as formas de vida de niños y niñas van cambiando a un ritmo desenfrenado, en consonancia con los avances tecnológicos. Estos cambios repercuten directamente sobre el vínculo establecido entre el mundo adulto y el mundo infantil. </w:t>
      </w:r>
      <w:r>
        <w:t>Por lo tanto se hace necesario reflexionar sobre la construcción y significado actual que cobra la infancia y la adolescencia para nuestra sociedad.</w:t>
      </w:r>
    </w:p>
    <w:p w:rsidR="005B5CE3" w:rsidRDefault="00642485">
      <w:pPr>
        <w:pStyle w:val="Standard"/>
        <w:spacing w:after="200"/>
      </w:pPr>
      <w:r>
        <w:t>Si bien se afirma que la infancia de la modernidad está llegando a su fin (Postman, 1999) no asistimos al r</w:t>
      </w:r>
      <w:r>
        <w:t>eemplazo de una visión por otra, sino que se observa la existencia de una multiplicidad de “infancias” que se encuentran determinadas por distintos clivajes como: la clase social, el género, la configuración e historia familiar, y la localización geográfic</w:t>
      </w:r>
      <w:r>
        <w:t>a, entre otros (Diker, 2008; Civarolo y Fuentes, 2013).</w:t>
      </w:r>
    </w:p>
    <w:p w:rsidR="005B5CE3" w:rsidRDefault="00642485">
      <w:pPr>
        <w:pStyle w:val="Standard"/>
        <w:spacing w:after="200"/>
      </w:pPr>
      <w:r>
        <w:t>L</w:t>
      </w:r>
      <w:r>
        <w:t>a infancia se encuentra atravesada por un proceso de polarización, que se puede visualizar en lo que se ha definido como: “Infancias híperrealizadas y desrealizadas” (Narodowski, 2013). La primera re</w:t>
      </w:r>
      <w:r>
        <w:t xml:space="preserve">fiere a una “infancia 3.0” haciendo alusión a aquellos niños y niñas que pasan gran parte de su tiempo conectados a los diversos dispositivos digitales como smartphones, tablets, televisores inteligentes, etc. El acceso al mundo de la tecnología y la </w:t>
      </w:r>
      <w:r>
        <w:lastRenderedPageBreak/>
        <w:t>telev</w:t>
      </w:r>
      <w:r>
        <w:t>isión desde temprana edad posibilita la adquisición de habilidades y conocimientos sin la mediación de los adultos modificando el vínculo tradicional entre el saber y el aprender. Las infancias desrealizadas (Narodowski, 2013) refiere a aquellos niños y ni</w:t>
      </w:r>
      <w:r>
        <w:t>ñas que trabajan y viven en la calle, que son autónomos, independientes, que han generado las herramientas y los mecanismos necesarios para sobrevivir solos y por lo tanto no dependen del mundo adulto. Sin embargo, como propone Narodowski (2013), la mayorí</w:t>
      </w:r>
      <w:r>
        <w:t>a de los niños, niñas y adolescentes de nuestra época se encuentran en las zonas intermedias entre estas dos categorías.</w:t>
      </w:r>
    </w:p>
    <w:p w:rsidR="005B5CE3" w:rsidRDefault="00642485">
      <w:pPr>
        <w:pStyle w:val="Standard"/>
        <w:spacing w:after="200"/>
      </w:pPr>
      <w:r>
        <w:rPr>
          <w:b/>
        </w:rPr>
        <w:t>Características generales por ciclo de vida</w:t>
      </w:r>
    </w:p>
    <w:p w:rsidR="005B5CE3" w:rsidRDefault="00642485">
      <w:pPr>
        <w:pStyle w:val="Standard"/>
        <w:spacing w:after="200"/>
      </w:pPr>
      <w:r>
        <w:rPr>
          <w:i/>
        </w:rPr>
        <w:t>Primera Infancia</w:t>
      </w:r>
    </w:p>
    <w:p w:rsidR="005B5CE3" w:rsidRDefault="00642485">
      <w:pPr>
        <w:pStyle w:val="Standard"/>
        <w:spacing w:after="200"/>
      </w:pPr>
      <w:r>
        <w:t>La primera infancia - período de la vida comprendido entre la concepción y</w:t>
      </w:r>
      <w:r>
        <w:t xml:space="preserve"> los cinco años de edad- es una etapa de alta  sensibilidad para el desarrollo de las personas.</w:t>
      </w:r>
    </w:p>
    <w:p w:rsidR="005B5CE3" w:rsidRDefault="00642485">
      <w:pPr>
        <w:pStyle w:val="Standard"/>
        <w:spacing w:after="200" w:line="240" w:lineRule="auto"/>
      </w:pPr>
      <w:r>
        <w:t>Mientras que en los primeros dos años de edad se constituye una parte importante del desarrollo intelectual, emocional, físico, inmunológico y social, entre los</w:t>
      </w:r>
      <w:r>
        <w:t xml:space="preserve"> dos y los cinco años se establecen los pilares del aprendizaje posterior, de la educación formal y de las competencias sociales.  (Uruguay Crece Contigo - MIDES, 2015)</w:t>
      </w:r>
    </w:p>
    <w:p w:rsidR="005B5CE3" w:rsidRDefault="00642485">
      <w:pPr>
        <w:pStyle w:val="Standard"/>
        <w:spacing w:after="200" w:line="240" w:lineRule="auto"/>
      </w:pPr>
      <w:r>
        <w:t>Desde el nacimiento y hasta cerca de los tres años de edad las conexiones neuronales (s</w:t>
      </w:r>
      <w:r>
        <w:t>inapsis) se producen en el cerebro con niveles de velocidad y eficiencia vertiginosas, las cuales no vuelven a ser alcanzadas en el resto de la vida. (Mustard, 2006) El desarrollo acelerado del cerebro depende tanto de la genética como de la experiencia de</w:t>
      </w:r>
      <w:r>
        <w:t xml:space="preserve"> vida y de los estímulos recibidos. Este proceso puede tener un efecto positivo potenciando las posibilidades de desarrollo del individuo o, por el contrario, si la exposición al ambiente es negativa, puede debilitar las mismas en forma importante.</w:t>
      </w:r>
    </w:p>
    <w:p w:rsidR="005B5CE3" w:rsidRDefault="00642485">
      <w:pPr>
        <w:pStyle w:val="Standard"/>
        <w:spacing w:after="200"/>
      </w:pPr>
      <w:r>
        <w:t>Las neu</w:t>
      </w:r>
      <w:r>
        <w:t>rociencias demuestran la trascendencia de atender a la niñez desde la gestación, y especialmente hasta los tres años de edad. Se ha demostrado que la atención integral e integrada durante los primeros dieciocho meses mejora el desarrollo futuro y evita def</w:t>
      </w:r>
      <w:r>
        <w:t>iciencias irreversibles. (Mustard, 2006)</w:t>
      </w:r>
    </w:p>
    <w:p w:rsidR="005B5CE3" w:rsidRDefault="00642485">
      <w:pPr>
        <w:pStyle w:val="Standard"/>
        <w:spacing w:after="200"/>
      </w:pPr>
      <w:r>
        <w:t xml:space="preserve">Lo genético marca el rumbo material base para el desarrollo, pero la construcción cabal de cada sujeto depende de las señales y experiencias en interacción con el entorno. La etapa de la vida de la primera infancia </w:t>
      </w:r>
      <w:r>
        <w:t>es, por tanto, de alta sensibilidad para la inversión de una sociedad, una inversión económica y social que habilita una convivencia con mejores herramientas y capacidades en la adultez(Heckman, 2007)</w:t>
      </w:r>
    </w:p>
    <w:p w:rsidR="005B5CE3" w:rsidRDefault="005B5CE3">
      <w:pPr>
        <w:pStyle w:val="Standard"/>
        <w:spacing w:after="200"/>
      </w:pPr>
    </w:p>
    <w:p w:rsidR="005B5CE3" w:rsidRDefault="00642485">
      <w:pPr>
        <w:pStyle w:val="Standard"/>
        <w:spacing w:after="200"/>
      </w:pPr>
      <w:r>
        <w:rPr>
          <w:i/>
        </w:rPr>
        <w:t>Infancia</w:t>
      </w:r>
    </w:p>
    <w:p w:rsidR="005B5CE3" w:rsidRDefault="00642485">
      <w:pPr>
        <w:pStyle w:val="Standard"/>
        <w:spacing w:after="200"/>
      </w:pPr>
      <w:r>
        <w:t>Este momento del ciclo vital es denominado po</w:t>
      </w:r>
      <w:r>
        <w:t xml:space="preserve">r varios autores de diversas maneras: período de latencia (Freud, Uribarri), de Institucionalización (Sobrado), entre otros. Para el desarrollo de este plan </w:t>
      </w:r>
      <w:r>
        <w:t xml:space="preserve">se enmarcará </w:t>
      </w:r>
      <w:r>
        <w:t>entre los 6 y los 12 años con 11 meses, apuntando a una delimitación operativa más que</w:t>
      </w:r>
      <w:r>
        <w:t xml:space="preserve"> conceptual.</w:t>
      </w:r>
    </w:p>
    <w:p w:rsidR="005B5CE3" w:rsidRDefault="00642485">
      <w:pPr>
        <w:pStyle w:val="Standard"/>
        <w:spacing w:after="200"/>
      </w:pPr>
      <w:r>
        <w:t>En términos generales referimos al tiempo en el cu</w:t>
      </w:r>
      <w:r>
        <w:t>a</w:t>
      </w:r>
      <w:r>
        <w:t>l los sujetos consolidan su inscripción institucional, accediendo de forma plena al proceso de escolarización en el marco de la necesidad de socialización e inclusión social.</w:t>
      </w:r>
    </w:p>
    <w:p w:rsidR="005B5CE3" w:rsidRDefault="00642485">
      <w:pPr>
        <w:pStyle w:val="Standard"/>
        <w:spacing w:after="200"/>
      </w:pPr>
      <w:r>
        <w:t>El proceso de aut</w:t>
      </w:r>
      <w:r>
        <w:t>onomización se fortalece, apuntando especialmente hacia el afuera del hogar, en un proceso de apropiación y afianzamiento de nuevos vínculos sociales, en las instituciones, con sus pares, y con otros adultos significativos. La curiosidad, el descubrimiento</w:t>
      </w:r>
      <w:r>
        <w:t>, el deseo de aprender, el juego, la posibilidad de asumir nuevas responsabilidades, la noción de la existencia de un mundo social amplio, son algunos de los procesos que se desarrollan en este período. Conceptos tales como democracia, participación, ciuda</w:t>
      </w:r>
      <w:r>
        <w:t>d</w:t>
      </w:r>
      <w:r>
        <w:t xml:space="preserve"> y </w:t>
      </w:r>
      <w:r>
        <w:t>nación comienzan a dimensionarse en el mundo infantil, por lo cual el tránsito por las diversas instituciones resulta fundamental para su inclusión.</w:t>
      </w:r>
    </w:p>
    <w:p w:rsidR="005B5CE3" w:rsidRDefault="00642485">
      <w:pPr>
        <w:pStyle w:val="Standard"/>
        <w:spacing w:after="200"/>
      </w:pPr>
      <w:r>
        <w:rPr>
          <w:i/>
        </w:rPr>
        <w:t>Adolescencia</w:t>
      </w:r>
    </w:p>
    <w:p w:rsidR="005B5CE3" w:rsidRDefault="00642485">
      <w:pPr>
        <w:pStyle w:val="Standard"/>
        <w:spacing w:after="200"/>
      </w:pPr>
      <w:r>
        <w:t>La adolescencia como ciclo vital es un concepto que da cuenta de una construcción social y</w:t>
      </w:r>
      <w:r>
        <w:t xml:space="preserve"> cultural propia de la modernidad occidental. En este sentido se puede observar que existen diversos modos de entender y definir la adolescencia.</w:t>
      </w:r>
    </w:p>
    <w:p w:rsidR="005B5CE3" w:rsidRDefault="00642485">
      <w:pPr>
        <w:pStyle w:val="Standard"/>
        <w:spacing w:after="200" w:line="240" w:lineRule="auto"/>
      </w:pPr>
      <w:r>
        <w:t xml:space="preserve">Para el Plan de acción la etapa de la adolescencia se definirá entre los 13 y los 17 años con 11 meses. La </w:t>
      </w:r>
      <w:r>
        <w:t>Or</w:t>
      </w:r>
      <w:r>
        <w:t>ganización Mundial de la Salud realiza una delimitación conceptual de la adolescencia definiéndola como el período de vida comprendido entre los 10 y los 19 años de edad, subdividiéndola en adolescencia temprana (de los 10 a los 14) y adolescencia tardía (</w:t>
      </w:r>
      <w:r>
        <w:t>de los 15 a los 19).  Sin embargo, no se puede desconocer la variabilidad existente tanto en la edad de inicio como de finalización de esta etapa. Esto se debe a la incidencia de diversos factores que no se reducen únicamente a los factores biológicos como</w:t>
      </w:r>
      <w:r>
        <w:t xml:space="preserve"> la edad o los cambios físicos, sino que intervienen factores psicológicos y sociales. Si bien se puede identificar determinadas características comunes a todos los adolescentes las tray</w:t>
      </w:r>
      <w:r>
        <w:t xml:space="preserve">ectorias </w:t>
      </w:r>
      <w:r>
        <w:t>no son transitad</w:t>
      </w:r>
      <w:r>
        <w:t>a</w:t>
      </w:r>
      <w:r>
        <w:t>s ni se suceden de igual manera para cada in</w:t>
      </w:r>
      <w:r>
        <w:t>dividuo.</w:t>
      </w:r>
    </w:p>
    <w:p w:rsidR="005B5CE3" w:rsidRDefault="00642485">
      <w:pPr>
        <w:pStyle w:val="Standard"/>
        <w:spacing w:after="200"/>
      </w:pPr>
      <w:r>
        <w:lastRenderedPageBreak/>
        <w:t>L</w:t>
      </w:r>
      <w:r>
        <w:t>a adolescencia es entendida como un período de vida que posee características propias que lo diferencia de las demás etapas o ciclos vitales rompiendo con la visión de etapa de transición entre la infancia y la adultez. Al igual que la infancia,</w:t>
      </w:r>
      <w:r>
        <w:t xml:space="preserve"> la adolescencia se encuentra atravesada por los cambios y transformaciones sociales y culturales, por lo que resulta fundamental problematizar en torno a los significados y sentidos que nuestra sociedad le asigna a </w:t>
      </w:r>
      <w:r>
        <w:t>esta población. Tal como plantea la II E</w:t>
      </w:r>
      <w:r>
        <w:t xml:space="preserve">ncuesta Mundial de Salud Adolescente: </w:t>
      </w:r>
      <w:r>
        <w:t>“Es una etapa de oportunidades y riesgos, de crecimiento y desarrollo de la personalidad, que transcurre en diferentes contextos socio-culturales que influyen en dicho proceso produciendo necesidades, fortalezas y vuln</w:t>
      </w:r>
      <w:r>
        <w:t>erabilidades muy diversas”(II Encuesta Mundial de Salud Adolescente</w:t>
      </w:r>
      <w:r>
        <w:t xml:space="preserve">, </w:t>
      </w:r>
      <w:r>
        <w:t>2012: 57). La confrontación con el mundo adulto, la proyección de sus intereses y el descubrimiento de la sexualidad atraviesan intensamente este momento, entre otros procesos.</w:t>
      </w:r>
    </w:p>
    <w:p w:rsidR="005B5CE3" w:rsidRDefault="005B5CE3">
      <w:pPr>
        <w:pStyle w:val="Standard"/>
        <w:spacing w:after="200"/>
      </w:pPr>
    </w:p>
    <w:p w:rsidR="005B5CE3" w:rsidRDefault="00642485">
      <w:pPr>
        <w:pStyle w:val="Standard"/>
        <w:spacing w:after="200"/>
      </w:pPr>
      <w:r>
        <w:rPr>
          <w:b/>
        </w:rPr>
        <w:t>2.2. Situ</w:t>
      </w:r>
      <w:r>
        <w:rPr>
          <w:b/>
        </w:rPr>
        <w:t>ación de la normativa</w:t>
      </w:r>
    </w:p>
    <w:p w:rsidR="005B5CE3" w:rsidRDefault="00642485">
      <w:pPr>
        <w:pStyle w:val="Standard"/>
        <w:spacing w:after="200"/>
      </w:pPr>
      <w:r>
        <w:t>En Uruguay, el instrumento normativo central en materia de primera infancia, infancia y adolescencia es el Código de la Niñez y la Adolescencia Ley N°17823 del año 2004. Dicha normativa fue el resultado de un proceso de adaptación leg</w:t>
      </w:r>
      <w:r>
        <w:t xml:space="preserve">al iniciado por el país tras la ratificación de la Convención sobre los Derechos del Niño (CDN) en 1989. </w:t>
      </w:r>
      <w:r>
        <w:t xml:space="preserve">Esta </w:t>
      </w:r>
      <w:r>
        <w:t xml:space="preserve">ratificación </w:t>
      </w:r>
      <w:r>
        <w:t>re</w:t>
      </w:r>
      <w:r>
        <w:t xml:space="preserve">sultaba incompatible con el Código del Niño de 1934, en tanto este último se construyó sobre la base de la doctrina de la </w:t>
      </w:r>
      <w:r>
        <w:t>“</w:t>
      </w:r>
      <w:r>
        <w:t>situación irregular del menor</w:t>
      </w:r>
      <w:r>
        <w:t>”</w:t>
      </w:r>
      <w:r>
        <w:t>, que la CDN supera mediante la introducción del paradigma de la protección integral de derechos. Por ello, el nuevo Código deroga a su antecesor, así como a sus modificaciones y a todas las disposiciones legales que se le opo</w:t>
      </w:r>
      <w:r>
        <w:t>nen.</w:t>
      </w:r>
    </w:p>
    <w:p w:rsidR="005B5CE3" w:rsidRDefault="00642485">
      <w:pPr>
        <w:pStyle w:val="Standard"/>
        <w:spacing w:after="200"/>
      </w:pPr>
      <w:r>
        <w:t xml:space="preserve">El </w:t>
      </w:r>
      <w:r>
        <w:t>C</w:t>
      </w:r>
      <w:r>
        <w:t xml:space="preserve">ódigo es de aplicación a todos los seres </w:t>
      </w:r>
      <w:r>
        <w:t>humanos</w:t>
      </w:r>
      <w:r>
        <w:t xml:space="preserve"> menores de dieciocho años de edad, entendiendo por niño a</w:t>
      </w:r>
      <w:r>
        <w:t xml:space="preserve"> quienes tienen</w:t>
      </w:r>
      <w:r>
        <w:t xml:space="preserve"> hasta trece años de edad y por adolescente a los mayores de trece y menores de dieciocho años. E</w:t>
      </w:r>
      <w:r>
        <w:t xml:space="preserve">l </w:t>
      </w:r>
      <w:r>
        <w:t>capítulo I establece los pr</w:t>
      </w:r>
      <w:r>
        <w:t>incipios generales, en donde reconoce la titularidad de derechos, deberes y garantías a niños y adolescentes, y consagra el interés superior del niño y el adolescente como criterio específico de interpretación del código</w:t>
      </w:r>
      <w:r>
        <w:rPr>
          <w:rStyle w:val="Refdenotaalpie"/>
        </w:rPr>
        <w:footnoteReference w:id="1"/>
      </w:r>
      <w:r>
        <w:t>. Asimismo, establece  la corresponsabilidad de la familia, la comunidad y el Estado e</w:t>
      </w:r>
      <w:r>
        <w:t xml:space="preserve">n la protección de los derechos de niños y adolescentes, y </w:t>
      </w:r>
      <w:r>
        <w:lastRenderedPageBreak/>
        <w:t>recoge el derecho a medidas especiales de protección a brindar por estas instituciones. Finalmente, establece el deber del Estado de orientar y fijar las políticas generales aplicables a las distin</w:t>
      </w:r>
      <w:r>
        <w:t>tas áreas vinculadas a la niñez y adolescencia y a la familia, y en su artículo 68 define que el organismo rector en materia de políticas de infancia y adolescencia es el Instituto del Niño y Adolescente del Uruguay (INAU)</w:t>
      </w:r>
      <w:r>
        <w:rPr>
          <w:rStyle w:val="Refdenotaalpie"/>
        </w:rPr>
        <w:footnoteReference w:id="2"/>
      </w:r>
      <w:r>
        <w:t>.</w:t>
      </w:r>
    </w:p>
    <w:p w:rsidR="005B5CE3" w:rsidRDefault="00642485">
      <w:pPr>
        <w:pStyle w:val="Standard"/>
        <w:spacing w:after="200"/>
      </w:pPr>
      <w:r>
        <w:t>Asimismo, es preciso reseñar algunas normas posteriores. Específicamente, la Ley N° 1</w:t>
      </w:r>
      <w:r>
        <w:rPr>
          <w:shd w:val="clear" w:color="auto" w:fill="FFFFFF"/>
        </w:rPr>
        <w:t>8.214 de Integridad Personal de Niños, Niñas y Adolescentes sancionad</w:t>
      </w:r>
      <w:r>
        <w:rPr>
          <w:shd w:val="clear" w:color="auto" w:fill="FFFFFF"/>
        </w:rPr>
        <w:t>a en 2007, que prohíbe el castigo físico y el trato humillante a niños y adolescentes -</w:t>
      </w:r>
      <w:r>
        <w:rPr>
          <w:shd w:val="clear" w:color="auto" w:fill="FFFFFF"/>
        </w:rPr>
        <w:t>pionera en América Latina-, y</w:t>
      </w:r>
      <w:r>
        <w:rPr>
          <w:shd w:val="clear" w:color="auto" w:fill="FFFFFF"/>
        </w:rPr>
        <w:t xml:space="preserve"> distintas reformas al código, como la Ley N° 18.590 que modifica disposiciones relativas a la adopción, la Ley N° 19.092 que modifica varia</w:t>
      </w:r>
      <w:r>
        <w:rPr>
          <w:shd w:val="clear" w:color="auto" w:fill="FFFFFF"/>
        </w:rPr>
        <w:t>s disposiciones –incluidas nuevamente disposiciones sobre adopción-, y las leyes N° 18.777, N° 18.778 y N°19.055 que introducen modificaciones respecto a adolescentes en conflicto con la ley penal.</w:t>
      </w:r>
    </w:p>
    <w:p w:rsidR="005B5CE3" w:rsidRDefault="00642485">
      <w:pPr>
        <w:pStyle w:val="Standard"/>
        <w:spacing w:after="200"/>
      </w:pPr>
      <w:r>
        <w:rPr>
          <w:b/>
        </w:rPr>
        <w:t xml:space="preserve">2.3. Por qué invertir y desarrollar políticas de primera </w:t>
      </w:r>
      <w:r>
        <w:rPr>
          <w:b/>
        </w:rPr>
        <w:t>infancia, infancia y adolescencia</w:t>
      </w:r>
    </w:p>
    <w:p w:rsidR="005B5CE3" w:rsidRDefault="00642485">
      <w:pPr>
        <w:pStyle w:val="Standard"/>
        <w:spacing w:after="200"/>
      </w:pPr>
      <w:r>
        <w:t>La inversión en políticas de primera infancia, infancia y adolescencia es, ante todo, un imperativo ético y legal. Los principios y derechos consagrados en la CD</w:t>
      </w:r>
      <w:r>
        <w:t>N</w:t>
      </w:r>
      <w:r>
        <w:t xml:space="preserve"> llevan, de acuerdo a la propia convención, a que los Estado</w:t>
      </w:r>
      <w:r>
        <w:t>s deben invertir “hasta el máximo de los recursos que dispongan” (art. 4) para hacerlos efectivos. Esto se debe a que el ejercicio efectivo de los derechos depende del desarrollo de políticas públicas que aseguren un entorno de protección y promoción con m</w:t>
      </w:r>
      <w:r>
        <w:t>iras a este fin.</w:t>
      </w:r>
    </w:p>
    <w:p w:rsidR="005B5CE3" w:rsidRDefault="00642485">
      <w:pPr>
        <w:pStyle w:val="Standard"/>
        <w:spacing w:after="200"/>
      </w:pPr>
      <w:r>
        <w:t xml:space="preserve">Igualmente, puesto que las condiciones de crianza de los niños determinan en buena medida su futuro bienestar, la inversión en </w:t>
      </w:r>
      <w:r>
        <w:t xml:space="preserve">estas </w:t>
      </w:r>
      <w:r>
        <w:t>políticas es un instrumento clave para promover la equidad y el bienestar (UNICEF, 2013). La inversión equ</w:t>
      </w:r>
      <w:r>
        <w:t>itativa busca asegurar a todos los niños, las niñas y los adolescentes las mismas oportunidades de desarrollo, enfocándose de forma especial en quienes se encuentren en mayor desventaja. El cumplimiento de sus derechos, que deriva de estas acciones, redund</w:t>
      </w:r>
      <w:r>
        <w:t>a también en la ruptura del ciclo intergeneracional de la pobreza (UNICEF, 2010).</w:t>
      </w:r>
    </w:p>
    <w:p w:rsidR="005B5CE3" w:rsidRDefault="00642485">
      <w:pPr>
        <w:pStyle w:val="Standard"/>
        <w:spacing w:after="200"/>
      </w:pPr>
      <w:r>
        <w:t>En este sentido,</w:t>
      </w:r>
      <w:r>
        <w:t xml:space="preserve"> es clave</w:t>
      </w:r>
      <w:r>
        <w:t xml:space="preserve"> invertir en estos ciclos de vida</w:t>
      </w:r>
      <w:r>
        <w:t xml:space="preserve"> </w:t>
      </w:r>
      <w:r>
        <w:t>ya que son períodos críticos en los que tienen lugar diversos procesos neurofisiológicos de configuración de las c</w:t>
      </w:r>
      <w:r>
        <w:t xml:space="preserve">onexiones neuronales y de las funciones cerebrales, las cuales definen en parte importante la </w:t>
      </w:r>
      <w:r>
        <w:lastRenderedPageBreak/>
        <w:t xml:space="preserve">naturaleza y la amplitud de las capacidades adultas.  En este sentido son etapas caracterizadas como </w:t>
      </w:r>
      <w:r>
        <w:rPr>
          <w:i/>
        </w:rPr>
        <w:t>ventanas de oportunidad</w:t>
      </w:r>
      <w:r>
        <w:t xml:space="preserve"> ya que es allí donde se alcanzan los </w:t>
      </w:r>
      <w:r>
        <w:t>más altos niveles de desarrollo cerebral mediante el aprovechamiento del entorno como oportunidad. Si bien el aprendizaje continúa a través de todo el ciclo de vida, hay tiempos específicos para que se realice en forma óptima debido a que</w:t>
      </w:r>
      <w:r>
        <w:rPr>
          <w:shd w:val="clear" w:color="auto" w:fill="FFFFFF"/>
        </w:rPr>
        <w:t xml:space="preserve"> </w:t>
      </w:r>
      <w:r>
        <w:t>es en estas edade</w:t>
      </w:r>
      <w:r>
        <w:t>s donde las diferentes regiones del cerebro maduran, cada una de ellas es más sensible a distintas experiencias en diferentes edades y, por esta razón, durante estos períodos críticos, el cerebro es particularmente sensible y eficiente ante determinados es</w:t>
      </w:r>
      <w:r>
        <w:t>tímulos, siendo susceptible de ser alterado en su arquitectura neuronal proceso éste que se ha denominado plasticidad cerebral.</w:t>
      </w:r>
    </w:p>
    <w:p w:rsidR="005B5CE3" w:rsidRDefault="00642485">
      <w:pPr>
        <w:pStyle w:val="Standard"/>
        <w:spacing w:after="200"/>
      </w:pPr>
      <w:r>
        <w:t>Por otra parte, existen motivos de carácter económico para invertir en políticas de primera infancia, infancia y adolescencia. D</w:t>
      </w:r>
      <w:r>
        <w:t xml:space="preserve">e acuerdo a diversos estudios, los mayores rendimientos de la inversión social se producen en estos ciclos de vida (UNICEF, 2010; UNICEF, 2013). </w:t>
      </w:r>
      <w:r>
        <w:t>C</w:t>
      </w:r>
      <w:r>
        <w:t>omo contracara, la falta de políticas adecuadas  redunda en una menor dotación de capital humano a nivel agreg</w:t>
      </w:r>
      <w:r>
        <w:t>ado, con la consecuente pérdida de productividad y dinamismo económico a mediano y largo plazo. Puesto de otro modo, no invertir en el desarrollo de niños y niñas puede tener altos costos económicos y sociales, pues el efecto positivo que dicha inversión d</w:t>
      </w:r>
      <w:r>
        <w:t>ifícilmente podrá ser obtenido si ésta se hace cuando han llegado a la etapa adulta. En tanto que la inversión en capital humano en áreas como salud, nutrición, educación y protección social, reportan beneficios tanto para las personas como para la socieda</w:t>
      </w:r>
      <w:r>
        <w:t>d en su conjunto (UNICEF, 2010).</w:t>
      </w:r>
    </w:p>
    <w:p w:rsidR="005B5CE3" w:rsidRDefault="00642485">
      <w:pPr>
        <w:pStyle w:val="Standard"/>
        <w:spacing w:after="200"/>
      </w:pPr>
      <w:r>
        <w:t>Finalmente, también existen motivos de carácter político. Una fuerte inversión social en estos ciclos de vida colabora con la construcción de una sociedad inclusiva y cohesionada, en la que los ciudadanos ejercen plenamente</w:t>
      </w:r>
      <w:r>
        <w:t xml:space="preserve"> sus derechos civiles, políticos y sociale</w:t>
      </w:r>
      <w:r>
        <w:t xml:space="preserve">s,  generando así el marco propicio para el desarrollo de una democracia estable  </w:t>
      </w:r>
      <w:r>
        <w:t>(UNICEF, 2010; UNICEF, 2013).</w:t>
      </w:r>
    </w:p>
    <w:p w:rsidR="005B5CE3" w:rsidRDefault="00642485">
      <w:pPr>
        <w:pStyle w:val="Standard"/>
        <w:spacing w:after="200"/>
      </w:pPr>
      <w:r>
        <w:rPr>
          <w:b/>
        </w:rPr>
        <w:t>3. Diagnóstico de la primera infancia, infancia y adolescencia y de la oferta pro</w:t>
      </w:r>
      <w:r>
        <w:rPr>
          <w:b/>
        </w:rPr>
        <w:t>gramática.</w:t>
      </w:r>
    </w:p>
    <w:p w:rsidR="005B5CE3" w:rsidRDefault="00642485">
      <w:pPr>
        <w:pStyle w:val="Standard"/>
        <w:spacing w:after="200"/>
      </w:pPr>
      <w:r>
        <w:rPr>
          <w:b/>
        </w:rPr>
        <w:t xml:space="preserve">3.1. </w:t>
      </w:r>
      <w:r>
        <w:rPr>
          <w:b/>
        </w:rPr>
        <w:t>Caracterización sociodemográfica</w:t>
      </w:r>
    </w:p>
    <w:p w:rsidR="005B5CE3" w:rsidRDefault="00642485">
      <w:pPr>
        <w:pStyle w:val="Standard"/>
      </w:pPr>
      <w:r>
        <w:t xml:space="preserve">En el presente apartado se presenta una caracterización sociodemográfica de la primera infancia, infancia y adolescencia. Aporta una mirada más </w:t>
      </w:r>
      <w:r>
        <w:t xml:space="preserve">precisa </w:t>
      </w:r>
      <w:r>
        <w:t>al interior de cada uno de estos tres grupos de edad proporcionando inf</w:t>
      </w:r>
      <w:r>
        <w:t xml:space="preserve">ormación pertinente sobre las realidades de niños, niñas y adolescentes.  </w:t>
      </w:r>
    </w:p>
    <w:p w:rsidR="005B5CE3" w:rsidRDefault="005B5CE3">
      <w:pPr>
        <w:pStyle w:val="Standard"/>
      </w:pPr>
    </w:p>
    <w:p w:rsidR="005B5CE3" w:rsidRDefault="00642485">
      <w:pPr>
        <w:pStyle w:val="Standard"/>
      </w:pPr>
      <w:r>
        <w:t>Las personas entre 0 y 18 años</w:t>
      </w:r>
      <w:r>
        <w:t xml:space="preserve"> representan el 26% de la población total del país lo que equivale a 889.360 personas. En cuanto a las diferencias por sexo, el </w:t>
      </w:r>
      <w:r>
        <w:t>27,5% de</w:t>
      </w:r>
      <w:r>
        <w:t xml:space="preserve"> los varones y</w:t>
      </w:r>
      <w:r>
        <w:t xml:space="preserve"> el 24,6 % de las mujeres, pertenecen a este tramo etario.</w:t>
      </w:r>
    </w:p>
    <w:p w:rsidR="005B5CE3" w:rsidRDefault="005B5CE3">
      <w:pPr>
        <w:pStyle w:val="Standard"/>
      </w:pPr>
    </w:p>
    <w:p w:rsidR="005B5CE3" w:rsidRDefault="00642485">
      <w:pPr>
        <w:pStyle w:val="Standard"/>
      </w:pPr>
      <w:r>
        <w:rPr>
          <w:b/>
        </w:rPr>
        <w:t>Primera Infancia, infancia y adolescencia por sexo. Total del país</w:t>
      </w:r>
    </w:p>
    <w:tbl>
      <w:tblPr>
        <w:tblW w:w="7513" w:type="dxa"/>
        <w:tblInd w:w="-188" w:type="dxa"/>
        <w:tblLayout w:type="fixed"/>
        <w:tblCellMar>
          <w:left w:w="10" w:type="dxa"/>
          <w:right w:w="10" w:type="dxa"/>
        </w:tblCellMar>
        <w:tblLook w:val="0000" w:firstRow="0" w:lastRow="0" w:firstColumn="0" w:lastColumn="0" w:noHBand="0" w:noVBand="0"/>
      </w:tblPr>
      <w:tblGrid>
        <w:gridCol w:w="1953"/>
        <w:gridCol w:w="1365"/>
        <w:gridCol w:w="791"/>
        <w:gridCol w:w="1365"/>
        <w:gridCol w:w="792"/>
        <w:gridCol w:w="1247"/>
      </w:tblGrid>
      <w:tr w:rsidR="005B5CE3">
        <w:tblPrEx>
          <w:tblCellMar>
            <w:top w:w="0" w:type="dxa"/>
            <w:bottom w:w="0" w:type="dxa"/>
          </w:tblCellMar>
        </w:tblPrEx>
        <w:tc>
          <w:tcPr>
            <w:tcW w:w="1739"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Edades</w:t>
            </w:r>
          </w:p>
        </w:tc>
        <w:tc>
          <w:tcPr>
            <w:tcW w:w="1919"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Varón</w:t>
            </w:r>
          </w:p>
        </w:tc>
        <w:tc>
          <w:tcPr>
            <w:tcW w:w="1920"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Mujer</w:t>
            </w:r>
          </w:p>
        </w:tc>
        <w:tc>
          <w:tcPr>
            <w:tcW w:w="1110"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Total</w:t>
            </w:r>
          </w:p>
        </w:tc>
      </w:tr>
      <w:tr w:rsidR="005B5CE3">
        <w:tblPrEx>
          <w:tblCellMar>
            <w:top w:w="0" w:type="dxa"/>
            <w:bottom w:w="0" w:type="dxa"/>
          </w:tblCellMar>
        </w:tblPrEx>
        <w:tc>
          <w:tcPr>
            <w:tcW w:w="173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Menores de 6 años</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136.911</w:t>
            </w:r>
          </w:p>
        </w:tc>
        <w:tc>
          <w:tcPr>
            <w:tcW w:w="70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8,31</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134.873</w:t>
            </w:r>
          </w:p>
        </w:tc>
        <w:tc>
          <w:tcPr>
            <w:tcW w:w="70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7,63</w:t>
            </w:r>
          </w:p>
        </w:tc>
        <w:tc>
          <w:tcPr>
            <w:tcW w:w="111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271.784</w:t>
            </w:r>
          </w:p>
        </w:tc>
      </w:tr>
      <w:tr w:rsidR="005B5CE3">
        <w:tblPrEx>
          <w:tblCellMar>
            <w:top w:w="0" w:type="dxa"/>
            <w:bottom w:w="0" w:type="dxa"/>
          </w:tblCellMar>
        </w:tblPrEx>
        <w:tc>
          <w:tcPr>
            <w:tcW w:w="173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6 y 12 años</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181.402</w:t>
            </w:r>
          </w:p>
        </w:tc>
        <w:tc>
          <w:tcPr>
            <w:tcW w:w="70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11,01</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171.313</w:t>
            </w:r>
          </w:p>
        </w:tc>
        <w:tc>
          <w:tcPr>
            <w:tcW w:w="70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9,69</w:t>
            </w:r>
          </w:p>
        </w:tc>
        <w:tc>
          <w:tcPr>
            <w:tcW w:w="111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352.715</w:t>
            </w:r>
          </w:p>
        </w:tc>
      </w:tr>
      <w:tr w:rsidR="005B5CE3">
        <w:tblPrEx>
          <w:tblCellMar>
            <w:top w:w="0" w:type="dxa"/>
            <w:bottom w:w="0" w:type="dxa"/>
          </w:tblCellMar>
        </w:tblPrEx>
        <w:tc>
          <w:tcPr>
            <w:tcW w:w="173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13 a 17 años</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135.295</w:t>
            </w:r>
          </w:p>
        </w:tc>
        <w:tc>
          <w:tcPr>
            <w:tcW w:w="70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8,21</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129.512</w:t>
            </w:r>
          </w:p>
        </w:tc>
        <w:tc>
          <w:tcPr>
            <w:tcW w:w="70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7,33</w:t>
            </w:r>
          </w:p>
        </w:tc>
        <w:tc>
          <w:tcPr>
            <w:tcW w:w="111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264.807</w:t>
            </w:r>
          </w:p>
        </w:tc>
      </w:tr>
      <w:tr w:rsidR="005B5CE3">
        <w:tblPrEx>
          <w:tblCellMar>
            <w:top w:w="0" w:type="dxa"/>
            <w:bottom w:w="0" w:type="dxa"/>
          </w:tblCellMar>
        </w:tblPrEx>
        <w:tc>
          <w:tcPr>
            <w:tcW w:w="173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18 y más</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1.193.877</w:t>
            </w:r>
          </w:p>
        </w:tc>
        <w:tc>
          <w:tcPr>
            <w:tcW w:w="70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72,47</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1.331.996</w:t>
            </w:r>
          </w:p>
        </w:tc>
        <w:tc>
          <w:tcPr>
            <w:tcW w:w="70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75,35</w:t>
            </w:r>
          </w:p>
        </w:tc>
        <w:tc>
          <w:tcPr>
            <w:tcW w:w="111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2.525.873</w:t>
            </w:r>
          </w:p>
        </w:tc>
      </w:tr>
      <w:tr w:rsidR="005B5CE3">
        <w:tblPrEx>
          <w:tblCellMar>
            <w:top w:w="0" w:type="dxa"/>
            <w:bottom w:w="0" w:type="dxa"/>
          </w:tblCellMar>
        </w:tblPrEx>
        <w:tc>
          <w:tcPr>
            <w:tcW w:w="173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Total</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1.647.485</w:t>
            </w:r>
          </w:p>
        </w:tc>
        <w:tc>
          <w:tcPr>
            <w:tcW w:w="70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100</w:t>
            </w:r>
          </w:p>
        </w:tc>
        <w:tc>
          <w:tcPr>
            <w:tcW w:w="121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1.767.694</w:t>
            </w:r>
          </w:p>
        </w:tc>
        <w:tc>
          <w:tcPr>
            <w:tcW w:w="70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100</w:t>
            </w:r>
          </w:p>
        </w:tc>
        <w:tc>
          <w:tcPr>
            <w:tcW w:w="111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3.415.179</w:t>
            </w:r>
          </w:p>
        </w:tc>
      </w:tr>
    </w:tbl>
    <w:p w:rsidR="005B5CE3" w:rsidRDefault="00642485">
      <w:pPr>
        <w:pStyle w:val="Standard"/>
      </w:pPr>
      <w:r>
        <w:rPr>
          <w:b/>
          <w:sz w:val="18"/>
          <w:szCs w:val="18"/>
        </w:rPr>
        <w:t>Fuente: Estimación propia en base ECH 2014</w:t>
      </w:r>
    </w:p>
    <w:p w:rsidR="005B5CE3" w:rsidRDefault="005B5CE3">
      <w:pPr>
        <w:pStyle w:val="Standard"/>
      </w:pPr>
    </w:p>
    <w:p w:rsidR="005B5CE3" w:rsidRDefault="00642485">
      <w:pPr>
        <w:pStyle w:val="Standard"/>
      </w:pPr>
      <w:r>
        <w:t xml:space="preserve">La cantidad de niños, niñas y adolescentes es mayor entre las </w:t>
      </w:r>
      <w:r>
        <w:t xml:space="preserve">personas que declaran tener ascendencia afro, 36,63% lo que equivale a 143.859 personas, </w:t>
      </w:r>
      <w:r>
        <w:t>en relación a</w:t>
      </w:r>
      <w:r>
        <w:t xml:space="preserve"> las personas </w:t>
      </w:r>
      <w:r>
        <w:t xml:space="preserve">sin </w:t>
      </w:r>
      <w:r>
        <w:t>ascendencia afro (24,6% o 745.500 niños, niñas y adolescentes).</w:t>
      </w:r>
    </w:p>
    <w:p w:rsidR="005B5CE3" w:rsidRDefault="005B5CE3">
      <w:pPr>
        <w:pStyle w:val="Standard"/>
      </w:pPr>
    </w:p>
    <w:p w:rsidR="005B5CE3" w:rsidRDefault="00642485">
      <w:pPr>
        <w:pStyle w:val="Standard"/>
      </w:pPr>
      <w:r>
        <w:rPr>
          <w:b/>
        </w:rPr>
        <w:t xml:space="preserve">Primera </w:t>
      </w:r>
      <w:r>
        <w:rPr>
          <w:b/>
        </w:rPr>
        <w:t>i</w:t>
      </w:r>
      <w:r>
        <w:rPr>
          <w:b/>
        </w:rPr>
        <w:t xml:space="preserve">nfancia, infancia y adolescencia por </w:t>
      </w:r>
      <w:r>
        <w:rPr>
          <w:b/>
        </w:rPr>
        <w:t>departamento</w:t>
      </w:r>
      <w:r>
        <w:rPr>
          <w:b/>
        </w:rPr>
        <w:t>. Total del p</w:t>
      </w:r>
      <w:r>
        <w:rPr>
          <w:b/>
        </w:rPr>
        <w:t>aís</w:t>
      </w:r>
    </w:p>
    <w:tbl>
      <w:tblPr>
        <w:tblW w:w="7650" w:type="dxa"/>
        <w:tblInd w:w="-188" w:type="dxa"/>
        <w:tblLayout w:type="fixed"/>
        <w:tblCellMar>
          <w:left w:w="10" w:type="dxa"/>
          <w:right w:w="10" w:type="dxa"/>
        </w:tblCellMar>
        <w:tblLook w:val="0000" w:firstRow="0" w:lastRow="0" w:firstColumn="0" w:lastColumn="0" w:noHBand="0" w:noVBand="0"/>
      </w:tblPr>
      <w:tblGrid>
        <w:gridCol w:w="2081"/>
        <w:gridCol w:w="1240"/>
        <w:gridCol w:w="875"/>
        <w:gridCol w:w="1338"/>
        <w:gridCol w:w="779"/>
        <w:gridCol w:w="1337"/>
      </w:tblGrid>
      <w:tr w:rsidR="005B5CE3">
        <w:tblPrEx>
          <w:tblCellMar>
            <w:top w:w="0" w:type="dxa"/>
            <w:bottom w:w="0" w:type="dxa"/>
          </w:tblCellMar>
        </w:tblPrEx>
        <w:tc>
          <w:tcPr>
            <w:tcW w:w="1889"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Edades</w:t>
            </w:r>
          </w:p>
        </w:tc>
        <w:tc>
          <w:tcPr>
            <w:tcW w:w="1919"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Afrodescendiente</w:t>
            </w:r>
          </w:p>
        </w:tc>
        <w:tc>
          <w:tcPr>
            <w:tcW w:w="1921"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No afrodescendiente</w:t>
            </w:r>
          </w:p>
        </w:tc>
        <w:tc>
          <w:tcPr>
            <w:tcW w:w="1213"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Total</w:t>
            </w:r>
          </w:p>
        </w:tc>
      </w:tr>
      <w:tr w:rsidR="005B5CE3">
        <w:tblPrEx>
          <w:tblCellMar>
            <w:top w:w="0" w:type="dxa"/>
            <w:bottom w:w="0" w:type="dxa"/>
          </w:tblCellMar>
        </w:tblPrEx>
        <w:tc>
          <w:tcPr>
            <w:tcW w:w="188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Menores de 6 años</w:t>
            </w:r>
          </w:p>
        </w:tc>
        <w:tc>
          <w:tcPr>
            <w:tcW w:w="112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43.665</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11,12</w:t>
            </w:r>
          </w:p>
        </w:tc>
        <w:tc>
          <w:tcPr>
            <w:tcW w:w="121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228.119</w:t>
            </w:r>
          </w:p>
        </w:tc>
        <w:tc>
          <w:tcPr>
            <w:tcW w:w="70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7,55</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271.784</w:t>
            </w:r>
          </w:p>
        </w:tc>
      </w:tr>
      <w:tr w:rsidR="005B5CE3">
        <w:tblPrEx>
          <w:tblCellMar>
            <w:top w:w="0" w:type="dxa"/>
            <w:bottom w:w="0" w:type="dxa"/>
          </w:tblCellMar>
        </w:tblPrEx>
        <w:tc>
          <w:tcPr>
            <w:tcW w:w="188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6 y 12 años</w:t>
            </w:r>
          </w:p>
        </w:tc>
        <w:tc>
          <w:tcPr>
            <w:tcW w:w="112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57.069</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14,53</w:t>
            </w:r>
          </w:p>
        </w:tc>
        <w:tc>
          <w:tcPr>
            <w:tcW w:w="121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295.646</w:t>
            </w:r>
          </w:p>
        </w:tc>
        <w:tc>
          <w:tcPr>
            <w:tcW w:w="70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9,78</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352.715</w:t>
            </w:r>
          </w:p>
        </w:tc>
      </w:tr>
      <w:tr w:rsidR="005B5CE3">
        <w:tblPrEx>
          <w:tblCellMar>
            <w:top w:w="0" w:type="dxa"/>
            <w:bottom w:w="0" w:type="dxa"/>
          </w:tblCellMar>
        </w:tblPrEx>
        <w:tc>
          <w:tcPr>
            <w:tcW w:w="188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13 a 17 años</w:t>
            </w:r>
          </w:p>
        </w:tc>
        <w:tc>
          <w:tcPr>
            <w:tcW w:w="112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43.125</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10,98</w:t>
            </w:r>
          </w:p>
        </w:tc>
        <w:tc>
          <w:tcPr>
            <w:tcW w:w="121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221.682</w:t>
            </w:r>
          </w:p>
        </w:tc>
        <w:tc>
          <w:tcPr>
            <w:tcW w:w="70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7,33</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264.807</w:t>
            </w:r>
          </w:p>
        </w:tc>
      </w:tr>
      <w:tr w:rsidR="005B5CE3">
        <w:tblPrEx>
          <w:tblCellMar>
            <w:top w:w="0" w:type="dxa"/>
            <w:bottom w:w="0" w:type="dxa"/>
          </w:tblCellMar>
        </w:tblPrEx>
        <w:tc>
          <w:tcPr>
            <w:tcW w:w="188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18 y más</w:t>
            </w:r>
          </w:p>
        </w:tc>
        <w:tc>
          <w:tcPr>
            <w:tcW w:w="112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248.953</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63,38</w:t>
            </w:r>
          </w:p>
        </w:tc>
        <w:tc>
          <w:tcPr>
            <w:tcW w:w="121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2.276.920</w:t>
            </w:r>
          </w:p>
        </w:tc>
        <w:tc>
          <w:tcPr>
            <w:tcW w:w="70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75,34</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2.525.873</w:t>
            </w:r>
          </w:p>
        </w:tc>
      </w:tr>
      <w:tr w:rsidR="005B5CE3">
        <w:tblPrEx>
          <w:tblCellMar>
            <w:top w:w="0" w:type="dxa"/>
            <w:bottom w:w="0" w:type="dxa"/>
          </w:tblCellMar>
        </w:tblPrEx>
        <w:tc>
          <w:tcPr>
            <w:tcW w:w="188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Total</w:t>
            </w:r>
          </w:p>
        </w:tc>
        <w:tc>
          <w:tcPr>
            <w:tcW w:w="112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392.812</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100</w:t>
            </w:r>
          </w:p>
        </w:tc>
        <w:tc>
          <w:tcPr>
            <w:tcW w:w="121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3.022.367</w:t>
            </w:r>
          </w:p>
        </w:tc>
        <w:tc>
          <w:tcPr>
            <w:tcW w:w="70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100</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3.415.179</w:t>
            </w:r>
          </w:p>
        </w:tc>
      </w:tr>
    </w:tbl>
    <w:p w:rsidR="005B5CE3" w:rsidRDefault="00642485">
      <w:pPr>
        <w:pStyle w:val="Standard"/>
      </w:pPr>
      <w:r>
        <w:rPr>
          <w:b/>
          <w:sz w:val="18"/>
          <w:szCs w:val="18"/>
        </w:rPr>
        <w:t>Fuente: Estimación propia en base ECH 2014</w:t>
      </w:r>
    </w:p>
    <w:p w:rsidR="005B5CE3" w:rsidRDefault="005B5CE3">
      <w:pPr>
        <w:pStyle w:val="Standard"/>
      </w:pPr>
    </w:p>
    <w:p w:rsidR="005B5CE3" w:rsidRDefault="00642485">
      <w:pPr>
        <w:pStyle w:val="Standard"/>
      </w:pPr>
      <w:r>
        <w:t xml:space="preserve">La mirada por departamentos muestra que el departamento con menor proporción de niños, niñas y adolescentes  es  Montevideo y el de mayor proporción es Salto, lo que </w:t>
      </w:r>
      <w:r>
        <w:t>equivale a 315.399 y  39.990 niños y niñas y adolescentes  respectivamente.</w:t>
      </w:r>
    </w:p>
    <w:p w:rsidR="005B5CE3" w:rsidRDefault="00642485">
      <w:pPr>
        <w:pStyle w:val="Standard"/>
      </w:pPr>
      <w:r>
        <w:rPr>
          <w:b/>
        </w:rPr>
        <w:t xml:space="preserve"> </w:t>
      </w:r>
    </w:p>
    <w:p w:rsidR="005B5CE3" w:rsidRDefault="00642485">
      <w:pPr>
        <w:pStyle w:val="Standard"/>
      </w:pPr>
      <w:r>
        <w:rPr>
          <w:b/>
        </w:rPr>
        <w:t xml:space="preserve">Primera </w:t>
      </w:r>
      <w:r>
        <w:rPr>
          <w:b/>
        </w:rPr>
        <w:t>i</w:t>
      </w:r>
      <w:r>
        <w:rPr>
          <w:b/>
        </w:rPr>
        <w:t>nfancia, infancia y adolescencia por ascendencia. Total del país</w:t>
      </w:r>
    </w:p>
    <w:tbl>
      <w:tblPr>
        <w:tblW w:w="9609" w:type="dxa"/>
        <w:tblInd w:w="-188" w:type="dxa"/>
        <w:tblLayout w:type="fixed"/>
        <w:tblCellMar>
          <w:left w:w="10" w:type="dxa"/>
          <w:right w:w="10" w:type="dxa"/>
        </w:tblCellMar>
        <w:tblLook w:val="0000" w:firstRow="0" w:lastRow="0" w:firstColumn="0" w:lastColumn="0" w:noHBand="0" w:noVBand="0"/>
      </w:tblPr>
      <w:tblGrid>
        <w:gridCol w:w="1696"/>
        <w:gridCol w:w="1892"/>
        <w:gridCol w:w="959"/>
        <w:gridCol w:w="1168"/>
        <w:gridCol w:w="959"/>
        <w:gridCol w:w="959"/>
        <w:gridCol w:w="959"/>
        <w:gridCol w:w="1017"/>
      </w:tblGrid>
      <w:tr w:rsidR="005B5CE3">
        <w:tblPrEx>
          <w:tblCellMar>
            <w:top w:w="0" w:type="dxa"/>
            <w:bottom w:w="0" w:type="dxa"/>
          </w:tblCellMar>
        </w:tblPrEx>
        <w:tc>
          <w:tcPr>
            <w:tcW w:w="1695"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 xml:space="preserve"> </w:t>
            </w:r>
          </w:p>
        </w:tc>
        <w:tc>
          <w:tcPr>
            <w:tcW w:w="1891"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Menores de 6 años</w:t>
            </w:r>
          </w:p>
        </w:tc>
        <w:tc>
          <w:tcPr>
            <w:tcW w:w="959"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6 y 12 años</w:t>
            </w:r>
          </w:p>
        </w:tc>
        <w:tc>
          <w:tcPr>
            <w:tcW w:w="1168"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13 a 17 años</w:t>
            </w:r>
          </w:p>
        </w:tc>
        <w:tc>
          <w:tcPr>
            <w:tcW w:w="959"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18 y más</w:t>
            </w:r>
          </w:p>
        </w:tc>
        <w:tc>
          <w:tcPr>
            <w:tcW w:w="959"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Total</w:t>
            </w:r>
          </w:p>
        </w:tc>
        <w:tc>
          <w:tcPr>
            <w:tcW w:w="959"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PI, I y A</w:t>
            </w:r>
          </w:p>
        </w:tc>
        <w:tc>
          <w:tcPr>
            <w:tcW w:w="1017"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Cantidad PI, I y A</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Montevideo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7,57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8,97</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6,68</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76,79</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23,22</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315.399</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Artigas</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7,49</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11,25</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10,61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70,65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29,35</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22.033</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Canelones</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8,46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10,99</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8,09</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72,46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27,54</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152.790</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lastRenderedPageBreak/>
              <w:t>Cerro Largo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8,36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11,25</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8,88</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71,51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28,49</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25.316</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Colonia</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8,12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9,63</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7,3</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74,95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25,05</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31.836</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Durazno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13,21</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8,43</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70,17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29,84</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17.509</w:t>
            </w:r>
          </w:p>
        </w:tc>
      </w:tr>
      <w:tr w:rsidR="005B5CE3">
        <w:tblPrEx>
          <w:tblCellMar>
            <w:top w:w="0" w:type="dxa"/>
            <w:bottom w:w="0" w:type="dxa"/>
          </w:tblCellMar>
        </w:tblPrEx>
        <w:trPr>
          <w:trHeight w:val="420"/>
        </w:trPr>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Flores</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7,61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11,26</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7,46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73,67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26,33</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6.885</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Florida</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8,21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9,93</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7,18</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74,67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25,32</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17.368</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Lavalleja</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6,79</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10,85</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7,4</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74,96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25,04</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14.788</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Maldonado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7,3</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11,67</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8,39</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72,64</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27,36</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48.939</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Paysandú</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8,04</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11,73</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9,06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71,18</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28,83</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33.764</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Río Negro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8,81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12,14</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8,84</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70,21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29,79</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16.858</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Rivera</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8,47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11,62</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9,51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70,4</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29,6</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31.570</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Rocha</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8,13</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10,29</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8,05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73,52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26,47</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19.372</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Salto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9,36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12,12</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9,48</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69,05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30,96</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39.990</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San José</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8,41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11,03</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7,71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72,85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27,15</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29.892</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Soriano</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8,02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12,06</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9,06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70,86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29,14</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24.384</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Tacuarembó</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7,91</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11,57</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9,3</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71,22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28,78</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26.656</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Treinta y tres</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8,78</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10,58</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8,52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72,12</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27,88</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13.957</w:t>
            </w:r>
          </w:p>
        </w:tc>
      </w:tr>
      <w:tr w:rsidR="005B5CE3">
        <w:tblPrEx>
          <w:tblCellMar>
            <w:top w:w="0" w:type="dxa"/>
            <w:bottom w:w="0" w:type="dxa"/>
          </w:tblCellMar>
        </w:tblPrEx>
        <w:tc>
          <w:tcPr>
            <w:tcW w:w="1695"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Total país</w:t>
            </w:r>
          </w:p>
        </w:tc>
        <w:tc>
          <w:tcPr>
            <w:tcW w:w="189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7,96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10,33</w:t>
            </w:r>
          </w:p>
        </w:tc>
        <w:tc>
          <w:tcPr>
            <w:tcW w:w="1168"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7,75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73,96</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26,04</w:t>
            </w:r>
          </w:p>
        </w:tc>
        <w:tc>
          <w:tcPr>
            <w:tcW w:w="1017"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889.306</w:t>
            </w:r>
          </w:p>
        </w:tc>
      </w:tr>
    </w:tbl>
    <w:p w:rsidR="005B5CE3" w:rsidRDefault="00642485">
      <w:pPr>
        <w:pStyle w:val="Standard"/>
        <w:ind w:left="-420"/>
      </w:pPr>
      <w:r>
        <w:rPr>
          <w:b/>
          <w:sz w:val="18"/>
          <w:szCs w:val="18"/>
        </w:rPr>
        <w:t>Fuente: Estimación propia en base ECH 2014</w:t>
      </w:r>
    </w:p>
    <w:p w:rsidR="005B5CE3" w:rsidRDefault="005B5CE3">
      <w:pPr>
        <w:pStyle w:val="Standard"/>
      </w:pPr>
    </w:p>
    <w:p w:rsidR="005B5CE3" w:rsidRDefault="00642485">
      <w:pPr>
        <w:pStyle w:val="Standard"/>
      </w:pPr>
      <w:r>
        <w:t>Observando los modelos de hogares en los que viven niños, niñas y adolescentes, es notoria la predominancia del tipo de hogar donde viven padres y madres con hijos de ambos. En PI la proporción de niños y niñas que viven en este tipo de hogar es del 52%, e</w:t>
      </w:r>
      <w:r>
        <w:t>n I y A, dicha proporción es de 47%y 44%.</w:t>
      </w:r>
    </w:p>
    <w:p w:rsidR="005B5CE3" w:rsidRDefault="005B5CE3">
      <w:pPr>
        <w:pStyle w:val="Standard"/>
      </w:pPr>
    </w:p>
    <w:p w:rsidR="005B5CE3" w:rsidRDefault="00642485">
      <w:pPr>
        <w:pStyle w:val="Standard"/>
      </w:pPr>
      <w:r>
        <w:rPr>
          <w:b/>
        </w:rPr>
        <w:t xml:space="preserve"> Distribución de </w:t>
      </w:r>
      <w:r>
        <w:rPr>
          <w:b/>
        </w:rPr>
        <w:t>primera infancia</w:t>
      </w:r>
      <w:r>
        <w:rPr>
          <w:b/>
        </w:rPr>
        <w:t xml:space="preserve">, </w:t>
      </w:r>
      <w:r>
        <w:rPr>
          <w:b/>
        </w:rPr>
        <w:t>infancia</w:t>
      </w:r>
      <w:r>
        <w:rPr>
          <w:b/>
        </w:rPr>
        <w:t xml:space="preserve"> y </w:t>
      </w:r>
      <w:r>
        <w:rPr>
          <w:b/>
        </w:rPr>
        <w:t>adolescencia</w:t>
      </w:r>
      <w:r>
        <w:rPr>
          <w:b/>
        </w:rPr>
        <w:t xml:space="preserve"> en los diferentes tipos de hogares</w:t>
      </w:r>
    </w:p>
    <w:p w:rsidR="005B5CE3" w:rsidRDefault="00642485">
      <w:pPr>
        <w:pStyle w:val="Standard"/>
        <w:ind w:left="-420"/>
      </w:pPr>
      <w:r>
        <w:rPr>
          <w:noProof/>
          <w:lang w:val="es-ES" w:eastAsia="es-ES" w:bidi="ar-SA"/>
        </w:rPr>
        <w:lastRenderedPageBreak/>
        <w:drawing>
          <wp:inline distT="0" distB="0" distL="0" distR="0">
            <wp:extent cx="6066720" cy="2590919"/>
            <wp:effectExtent l="0" t="0" r="0" b="0"/>
            <wp:docPr id="5" name="Imagen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6066720" cy="2590919"/>
                    </a:xfrm>
                    <a:prstGeom prst="rect">
                      <a:avLst/>
                    </a:prstGeom>
                    <a:ln>
                      <a:noFill/>
                      <a:prstDash/>
                    </a:ln>
                  </pic:spPr>
                </pic:pic>
              </a:graphicData>
            </a:graphic>
          </wp:inline>
        </w:drawing>
      </w:r>
      <w:r>
        <w:rPr>
          <w:b/>
          <w:sz w:val="18"/>
          <w:szCs w:val="18"/>
        </w:rPr>
        <w:t>Fuente: Estimación propia en base ECH 2014</w:t>
      </w:r>
    </w:p>
    <w:p w:rsidR="005B5CE3" w:rsidRDefault="005B5CE3">
      <w:pPr>
        <w:pStyle w:val="Standard"/>
      </w:pPr>
    </w:p>
    <w:p w:rsidR="005B5CE3" w:rsidRDefault="00642485">
      <w:pPr>
        <w:pStyle w:val="Standard"/>
      </w:pPr>
      <w:r>
        <w:t>La pobreza en los hogares del Uruguay es menor al 7%, sin embargo la situ</w:t>
      </w:r>
      <w:r>
        <w:t>ación es diferente cuando en ellos viven niños, niñas y adolescentes.  Por ejemplo, en aquellos hogares donde viven estas poblaciones este porcentaje es mayor (17%, 15% y 14% respectivamente).</w:t>
      </w:r>
    </w:p>
    <w:p w:rsidR="005B5CE3" w:rsidRDefault="005B5CE3">
      <w:pPr>
        <w:pStyle w:val="Standard"/>
      </w:pPr>
    </w:p>
    <w:p w:rsidR="005B5CE3" w:rsidRDefault="00642485">
      <w:pPr>
        <w:pStyle w:val="Standard"/>
      </w:pPr>
      <w:r>
        <w:rPr>
          <w:b/>
        </w:rPr>
        <w:t xml:space="preserve">Pobreza en hogares con niños, niñas y adolescentes. Total de </w:t>
      </w:r>
      <w:r>
        <w:rPr>
          <w:b/>
        </w:rPr>
        <w:t xml:space="preserve">país </w:t>
      </w:r>
      <w:r>
        <w:rPr>
          <w:b/>
          <w:sz w:val="22"/>
          <w:szCs w:val="22"/>
        </w:rPr>
        <w:t>[1]</w:t>
      </w:r>
    </w:p>
    <w:tbl>
      <w:tblPr>
        <w:tblW w:w="7860" w:type="dxa"/>
        <w:tblInd w:w="-188" w:type="dxa"/>
        <w:tblLayout w:type="fixed"/>
        <w:tblCellMar>
          <w:left w:w="10" w:type="dxa"/>
          <w:right w:w="10" w:type="dxa"/>
        </w:tblCellMar>
        <w:tblLook w:val="0000" w:firstRow="0" w:lastRow="0" w:firstColumn="0" w:lastColumn="0" w:noHBand="0" w:noVBand="0"/>
      </w:tblPr>
      <w:tblGrid>
        <w:gridCol w:w="948"/>
        <w:gridCol w:w="1150"/>
        <w:gridCol w:w="815"/>
        <w:gridCol w:w="982"/>
        <w:gridCol w:w="817"/>
        <w:gridCol w:w="1082"/>
        <w:gridCol w:w="818"/>
        <w:gridCol w:w="1248"/>
      </w:tblGrid>
      <w:tr w:rsidR="005B5CE3">
        <w:tblPrEx>
          <w:tblCellMar>
            <w:top w:w="0" w:type="dxa"/>
            <w:bottom w:w="0" w:type="dxa"/>
          </w:tblCellMar>
        </w:tblPrEx>
        <w:tc>
          <w:tcPr>
            <w:tcW w:w="854"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 xml:space="preserve"> </w:t>
            </w:r>
          </w:p>
        </w:tc>
        <w:tc>
          <w:tcPr>
            <w:tcW w:w="1769"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PI</w:t>
            </w:r>
          </w:p>
        </w:tc>
        <w:tc>
          <w:tcPr>
            <w:tcW w:w="1619"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I</w:t>
            </w:r>
          </w:p>
        </w:tc>
        <w:tc>
          <w:tcPr>
            <w:tcW w:w="1710"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A</w:t>
            </w:r>
          </w:p>
        </w:tc>
        <w:tc>
          <w:tcPr>
            <w:tcW w:w="1123"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Total</w:t>
            </w:r>
          </w:p>
        </w:tc>
      </w:tr>
      <w:tr w:rsidR="005B5CE3">
        <w:tblPrEx>
          <w:tblCellMar>
            <w:top w:w="0" w:type="dxa"/>
            <w:bottom w:w="0" w:type="dxa"/>
          </w:tblCellMar>
        </w:tblPrEx>
        <w:trPr>
          <w:trHeight w:val="620"/>
        </w:trPr>
        <w:tc>
          <w:tcPr>
            <w:tcW w:w="854"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No pobre</w:t>
            </w:r>
          </w:p>
        </w:tc>
        <w:tc>
          <w:tcPr>
            <w:tcW w:w="103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181.839</w:t>
            </w:r>
          </w:p>
        </w:tc>
        <w:tc>
          <w:tcPr>
            <w:tcW w:w="73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82,31</w:t>
            </w:r>
          </w:p>
        </w:tc>
        <w:tc>
          <w:tcPr>
            <w:tcW w:w="88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229.356</w:t>
            </w:r>
          </w:p>
        </w:tc>
        <w:tc>
          <w:tcPr>
            <w:tcW w:w="73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84,77</w:t>
            </w:r>
          </w:p>
        </w:tc>
        <w:tc>
          <w:tcPr>
            <w:tcW w:w="9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184.370</w:t>
            </w:r>
          </w:p>
        </w:tc>
        <w:tc>
          <w:tcPr>
            <w:tcW w:w="73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85,51</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1.145.101</w:t>
            </w:r>
          </w:p>
        </w:tc>
      </w:tr>
      <w:tr w:rsidR="005B5CE3">
        <w:tblPrEx>
          <w:tblCellMar>
            <w:top w:w="0" w:type="dxa"/>
            <w:bottom w:w="0" w:type="dxa"/>
          </w:tblCellMar>
        </w:tblPrEx>
        <w:tc>
          <w:tcPr>
            <w:tcW w:w="854"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Pobre</w:t>
            </w:r>
          </w:p>
        </w:tc>
        <w:tc>
          <w:tcPr>
            <w:tcW w:w="103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39.068</w:t>
            </w:r>
          </w:p>
        </w:tc>
        <w:tc>
          <w:tcPr>
            <w:tcW w:w="73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17,69</w:t>
            </w:r>
          </w:p>
        </w:tc>
        <w:tc>
          <w:tcPr>
            <w:tcW w:w="88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41.221</w:t>
            </w:r>
          </w:p>
        </w:tc>
        <w:tc>
          <w:tcPr>
            <w:tcW w:w="73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15,23</w:t>
            </w:r>
          </w:p>
        </w:tc>
        <w:tc>
          <w:tcPr>
            <w:tcW w:w="9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31.244</w:t>
            </w:r>
          </w:p>
        </w:tc>
        <w:tc>
          <w:tcPr>
            <w:tcW w:w="73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b/>
                <w:sz w:val="20"/>
                <w:szCs w:val="20"/>
              </w:rPr>
              <w:t>14,49</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78.817</w:t>
            </w:r>
          </w:p>
        </w:tc>
      </w:tr>
      <w:tr w:rsidR="005B5CE3">
        <w:tblPrEx>
          <w:tblCellMar>
            <w:top w:w="0" w:type="dxa"/>
            <w:bottom w:w="0" w:type="dxa"/>
          </w:tblCellMar>
        </w:tblPrEx>
        <w:tc>
          <w:tcPr>
            <w:tcW w:w="854"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Total</w:t>
            </w:r>
          </w:p>
        </w:tc>
        <w:tc>
          <w:tcPr>
            <w:tcW w:w="103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220.907</w:t>
            </w:r>
          </w:p>
        </w:tc>
        <w:tc>
          <w:tcPr>
            <w:tcW w:w="73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88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270.577</w:t>
            </w:r>
          </w:p>
        </w:tc>
        <w:tc>
          <w:tcPr>
            <w:tcW w:w="73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9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215.614</w:t>
            </w:r>
          </w:p>
        </w:tc>
        <w:tc>
          <w:tcPr>
            <w:tcW w:w="73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100</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1.223.918</w:t>
            </w:r>
          </w:p>
        </w:tc>
      </w:tr>
    </w:tbl>
    <w:p w:rsidR="005B5CE3" w:rsidRDefault="00642485">
      <w:pPr>
        <w:pStyle w:val="Standard"/>
      </w:pPr>
      <w:r>
        <w:rPr>
          <w:b/>
          <w:sz w:val="18"/>
          <w:szCs w:val="18"/>
        </w:rPr>
        <w:t>Fuente: Estimación propia en base ECH 2014</w:t>
      </w:r>
    </w:p>
    <w:p w:rsidR="005B5CE3" w:rsidRDefault="005B5CE3">
      <w:pPr>
        <w:pStyle w:val="Standard"/>
      </w:pPr>
    </w:p>
    <w:p w:rsidR="005B5CE3" w:rsidRDefault="00642485">
      <w:pPr>
        <w:pStyle w:val="Standard"/>
      </w:pPr>
      <w:r>
        <w:rPr>
          <w:color w:val="222222"/>
          <w:shd w:val="clear" w:color="auto" w:fill="FFFFFF"/>
        </w:rPr>
        <w:t xml:space="preserve">Si observamos la </w:t>
      </w:r>
      <w:r>
        <w:rPr>
          <w:color w:val="222222"/>
          <w:shd w:val="clear" w:color="auto" w:fill="FFFFFF"/>
        </w:rPr>
        <w:t xml:space="preserve">distribución por quintiles de ingresos se refuerza lo mostrado en el cuadro anterior, concentrándose en el quintil más pobre (cifra cercana al 50%).  </w:t>
      </w:r>
    </w:p>
    <w:p w:rsidR="005B5CE3" w:rsidRDefault="005B5CE3">
      <w:pPr>
        <w:pStyle w:val="Standard"/>
      </w:pPr>
    </w:p>
    <w:p w:rsidR="005B5CE3" w:rsidRDefault="00642485">
      <w:pPr>
        <w:pStyle w:val="Standard"/>
      </w:pPr>
      <w:r>
        <w:rPr>
          <w:b/>
        </w:rPr>
        <w:t xml:space="preserve">Distribución por quintiles en </w:t>
      </w:r>
      <w:r>
        <w:rPr>
          <w:b/>
        </w:rPr>
        <w:t>primera infancia</w:t>
      </w:r>
      <w:r>
        <w:rPr>
          <w:b/>
        </w:rPr>
        <w:t xml:space="preserve">, </w:t>
      </w:r>
      <w:r>
        <w:rPr>
          <w:b/>
        </w:rPr>
        <w:t>infancia</w:t>
      </w:r>
      <w:r>
        <w:rPr>
          <w:b/>
        </w:rPr>
        <w:t xml:space="preserve"> y </w:t>
      </w:r>
      <w:r>
        <w:rPr>
          <w:b/>
        </w:rPr>
        <w:t>adolescencia</w:t>
      </w:r>
      <w:r>
        <w:rPr>
          <w:b/>
        </w:rPr>
        <w:t>.</w:t>
      </w:r>
    </w:p>
    <w:tbl>
      <w:tblPr>
        <w:tblW w:w="8640" w:type="dxa"/>
        <w:tblInd w:w="-188" w:type="dxa"/>
        <w:tblLayout w:type="fixed"/>
        <w:tblCellMar>
          <w:left w:w="10" w:type="dxa"/>
          <w:right w:w="10" w:type="dxa"/>
        </w:tblCellMar>
        <w:tblLook w:val="0000" w:firstRow="0" w:lastRow="0" w:firstColumn="0" w:lastColumn="0" w:noHBand="0" w:noVBand="0"/>
      </w:tblPr>
      <w:tblGrid>
        <w:gridCol w:w="1046"/>
        <w:gridCol w:w="1225"/>
        <w:gridCol w:w="865"/>
        <w:gridCol w:w="1225"/>
        <w:gridCol w:w="866"/>
        <w:gridCol w:w="1224"/>
        <w:gridCol w:w="867"/>
        <w:gridCol w:w="1322"/>
      </w:tblGrid>
      <w:tr w:rsidR="005B5CE3">
        <w:tblPrEx>
          <w:tblCellMar>
            <w:top w:w="0" w:type="dxa"/>
            <w:bottom w:w="0" w:type="dxa"/>
          </w:tblCellMar>
        </w:tblPrEx>
        <w:tc>
          <w:tcPr>
            <w:tcW w:w="959"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Quintiles</w:t>
            </w:r>
          </w:p>
        </w:tc>
        <w:tc>
          <w:tcPr>
            <w:tcW w:w="1918"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PI</w:t>
            </w:r>
          </w:p>
        </w:tc>
        <w:tc>
          <w:tcPr>
            <w:tcW w:w="1919"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I</w:t>
            </w:r>
          </w:p>
        </w:tc>
        <w:tc>
          <w:tcPr>
            <w:tcW w:w="1919"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A</w:t>
            </w:r>
          </w:p>
        </w:tc>
        <w:tc>
          <w:tcPr>
            <w:tcW w:w="1213"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Total</w:t>
            </w:r>
          </w:p>
        </w:tc>
      </w:tr>
      <w:tr w:rsidR="005B5CE3">
        <w:tblPrEx>
          <w:tblCellMar>
            <w:top w:w="0" w:type="dxa"/>
            <w:bottom w:w="0" w:type="dxa"/>
          </w:tblCellMar>
        </w:tblPrEx>
        <w:tc>
          <w:tcPr>
            <w:tcW w:w="95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b/>
                <w:sz w:val="20"/>
                <w:szCs w:val="20"/>
              </w:rPr>
              <w:t>1</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133.745</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b/>
                <w:sz w:val="20"/>
                <w:szCs w:val="20"/>
              </w:rPr>
              <w:t>49,21</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172.476</w:t>
            </w:r>
          </w:p>
        </w:tc>
        <w:tc>
          <w:tcPr>
            <w:tcW w:w="79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b/>
                <w:sz w:val="20"/>
                <w:szCs w:val="20"/>
              </w:rPr>
              <w:t>48,9</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121.142</w:t>
            </w:r>
          </w:p>
        </w:tc>
        <w:tc>
          <w:tcPr>
            <w:tcW w:w="79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b/>
                <w:sz w:val="20"/>
                <w:szCs w:val="20"/>
              </w:rPr>
              <w:t>45,75</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979.256</w:t>
            </w:r>
          </w:p>
        </w:tc>
      </w:tr>
      <w:tr w:rsidR="005B5CE3">
        <w:tblPrEx>
          <w:tblCellMar>
            <w:top w:w="0" w:type="dxa"/>
            <w:bottom w:w="0" w:type="dxa"/>
          </w:tblCellMar>
        </w:tblPrEx>
        <w:tc>
          <w:tcPr>
            <w:tcW w:w="95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60.476</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22,25</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84.056</w:t>
            </w:r>
          </w:p>
        </w:tc>
        <w:tc>
          <w:tcPr>
            <w:tcW w:w="79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23,83</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64.612</w:t>
            </w:r>
          </w:p>
        </w:tc>
        <w:tc>
          <w:tcPr>
            <w:tcW w:w="79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24,4</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756.184</w:t>
            </w:r>
          </w:p>
        </w:tc>
      </w:tr>
      <w:tr w:rsidR="005B5CE3">
        <w:tblPrEx>
          <w:tblCellMar>
            <w:top w:w="0" w:type="dxa"/>
            <w:bottom w:w="0" w:type="dxa"/>
          </w:tblCellMar>
        </w:tblPrEx>
        <w:tc>
          <w:tcPr>
            <w:tcW w:w="95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36.666</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13,49</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47.554</w:t>
            </w:r>
          </w:p>
        </w:tc>
        <w:tc>
          <w:tcPr>
            <w:tcW w:w="79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13,48</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39.365</w:t>
            </w:r>
          </w:p>
        </w:tc>
        <w:tc>
          <w:tcPr>
            <w:tcW w:w="79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14,87</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642.095</w:t>
            </w:r>
          </w:p>
        </w:tc>
      </w:tr>
      <w:tr w:rsidR="005B5CE3">
        <w:tblPrEx>
          <w:tblCellMar>
            <w:top w:w="0" w:type="dxa"/>
            <w:bottom w:w="0" w:type="dxa"/>
          </w:tblCellMar>
        </w:tblPrEx>
        <w:tc>
          <w:tcPr>
            <w:tcW w:w="95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4</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24.620</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9,06</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29.367</w:t>
            </w:r>
          </w:p>
        </w:tc>
        <w:tc>
          <w:tcPr>
            <w:tcW w:w="79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8,33</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24.385</w:t>
            </w:r>
          </w:p>
        </w:tc>
        <w:tc>
          <w:tcPr>
            <w:tcW w:w="79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9,21</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558.475</w:t>
            </w:r>
          </w:p>
        </w:tc>
      </w:tr>
      <w:tr w:rsidR="005B5CE3">
        <w:tblPrEx>
          <w:tblCellMar>
            <w:top w:w="0" w:type="dxa"/>
            <w:bottom w:w="0" w:type="dxa"/>
          </w:tblCellMar>
        </w:tblPrEx>
        <w:tc>
          <w:tcPr>
            <w:tcW w:w="95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16.277</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5,99</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19.262</w:t>
            </w:r>
          </w:p>
        </w:tc>
        <w:tc>
          <w:tcPr>
            <w:tcW w:w="79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5,46</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15.303</w:t>
            </w:r>
          </w:p>
        </w:tc>
        <w:tc>
          <w:tcPr>
            <w:tcW w:w="79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5,78</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479.169</w:t>
            </w:r>
          </w:p>
        </w:tc>
      </w:tr>
      <w:tr w:rsidR="005B5CE3">
        <w:tblPrEx>
          <w:tblCellMar>
            <w:top w:w="0" w:type="dxa"/>
            <w:bottom w:w="0" w:type="dxa"/>
          </w:tblCellMar>
        </w:tblPrEx>
        <w:tc>
          <w:tcPr>
            <w:tcW w:w="95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lastRenderedPageBreak/>
              <w:t>Total</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271.784</w:t>
            </w:r>
          </w:p>
        </w:tc>
        <w:tc>
          <w:tcPr>
            <w:tcW w:w="79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100</w:t>
            </w:r>
          </w:p>
        </w:tc>
        <w:tc>
          <w:tcPr>
            <w:tcW w:w="112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352.715</w:t>
            </w:r>
          </w:p>
        </w:tc>
        <w:tc>
          <w:tcPr>
            <w:tcW w:w="795"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100</w:t>
            </w:r>
          </w:p>
        </w:tc>
        <w:tc>
          <w:tcPr>
            <w:tcW w:w="112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264.807</w:t>
            </w:r>
          </w:p>
        </w:tc>
        <w:tc>
          <w:tcPr>
            <w:tcW w:w="796"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100</w:t>
            </w:r>
          </w:p>
        </w:tc>
        <w:tc>
          <w:tcPr>
            <w:tcW w:w="1213"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3.415.179</w:t>
            </w:r>
          </w:p>
        </w:tc>
      </w:tr>
    </w:tbl>
    <w:p w:rsidR="005B5CE3" w:rsidRDefault="00642485">
      <w:pPr>
        <w:pStyle w:val="Standard"/>
      </w:pPr>
      <w:r>
        <w:rPr>
          <w:b/>
          <w:sz w:val="18"/>
          <w:szCs w:val="18"/>
        </w:rPr>
        <w:t>Fuente: Estimación propia en base ECH 2014</w:t>
      </w:r>
    </w:p>
    <w:p w:rsidR="005B5CE3" w:rsidRDefault="005B5CE3">
      <w:pPr>
        <w:pStyle w:val="Standard"/>
      </w:pPr>
    </w:p>
    <w:p w:rsidR="005B5CE3" w:rsidRDefault="00642485">
      <w:pPr>
        <w:pStyle w:val="Standard"/>
      </w:pPr>
      <w:r>
        <w:t xml:space="preserve">Analizando la discapacidad en </w:t>
      </w:r>
      <w:r>
        <w:t>primera infancia</w:t>
      </w:r>
      <w:r>
        <w:t xml:space="preserve">, </w:t>
      </w:r>
      <w:r>
        <w:t>infancia</w:t>
      </w:r>
      <w:r>
        <w:t xml:space="preserve"> y </w:t>
      </w:r>
      <w:r>
        <w:t>adolescencia</w:t>
      </w:r>
      <w:r>
        <w:t xml:space="preserve">, en base al módulo de discapacidad empleado por el censo 2011 vemos que en infancia y adolescencia la prevalencia </w:t>
      </w:r>
      <w:r>
        <w:rPr>
          <w:sz w:val="22"/>
          <w:szCs w:val="22"/>
        </w:rPr>
        <w:t>[2]</w:t>
      </w:r>
      <w:r>
        <w:t xml:space="preserve"> de la discapacidad es del 8% y 7% respectivamente lo que </w:t>
      </w:r>
      <w:r>
        <w:t xml:space="preserve">equivale a </w:t>
      </w:r>
      <w:r>
        <w:t xml:space="preserve">25.255 y 19.060 </w:t>
      </w:r>
      <w:r>
        <w:t>personas</w:t>
      </w:r>
      <w:r>
        <w:t>.</w:t>
      </w:r>
    </w:p>
    <w:p w:rsidR="005B5CE3" w:rsidRDefault="00642485">
      <w:pPr>
        <w:pStyle w:val="Standard"/>
      </w:pPr>
      <w:r>
        <w:rPr>
          <w:b/>
        </w:rPr>
        <w:t xml:space="preserve"> </w:t>
      </w:r>
    </w:p>
    <w:p w:rsidR="005B5CE3" w:rsidRDefault="00642485">
      <w:pPr>
        <w:pStyle w:val="Standard"/>
      </w:pPr>
      <w:r>
        <w:rPr>
          <w:b/>
        </w:rPr>
        <w:t>Niños y Adolescentes con a</w:t>
      </w:r>
      <w:r>
        <w:rPr>
          <w:b/>
        </w:rPr>
        <w:t xml:space="preserve">l menos una limitación </w:t>
      </w:r>
      <w:r>
        <w:rPr>
          <w:b/>
          <w:sz w:val="22"/>
          <w:szCs w:val="22"/>
        </w:rPr>
        <w:t>[3]</w:t>
      </w:r>
      <w:r>
        <w:rPr>
          <w:b/>
        </w:rPr>
        <w:t xml:space="preserve">  por nivel de limitación y prevalencia total.</w:t>
      </w:r>
    </w:p>
    <w:tbl>
      <w:tblPr>
        <w:tblW w:w="5985" w:type="dxa"/>
        <w:tblInd w:w="-188" w:type="dxa"/>
        <w:tblLayout w:type="fixed"/>
        <w:tblCellMar>
          <w:left w:w="10" w:type="dxa"/>
          <w:right w:w="10" w:type="dxa"/>
        </w:tblCellMar>
        <w:tblLook w:val="0000" w:firstRow="0" w:lastRow="0" w:firstColumn="0" w:lastColumn="0" w:noHBand="0" w:noVBand="0"/>
      </w:tblPr>
      <w:tblGrid>
        <w:gridCol w:w="2137"/>
        <w:gridCol w:w="1440"/>
        <w:gridCol w:w="1019"/>
        <w:gridCol w:w="1389"/>
      </w:tblGrid>
      <w:tr w:rsidR="005B5CE3">
        <w:tblPrEx>
          <w:tblCellMar>
            <w:top w:w="0" w:type="dxa"/>
            <w:bottom w:w="0" w:type="dxa"/>
          </w:tblCellMar>
        </w:tblPrEx>
        <w:tc>
          <w:tcPr>
            <w:tcW w:w="1890"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Limitaciones</w:t>
            </w:r>
          </w:p>
        </w:tc>
        <w:tc>
          <w:tcPr>
            <w:tcW w:w="2175" w:type="dxa"/>
            <w:gridSpan w:val="2"/>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Infancia</w:t>
            </w:r>
          </w:p>
        </w:tc>
        <w:tc>
          <w:tcPr>
            <w:tcW w:w="1229"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Adolescencia</w:t>
            </w:r>
          </w:p>
        </w:tc>
      </w:tr>
      <w:tr w:rsidR="005B5CE3">
        <w:tblPrEx>
          <w:tblCellMar>
            <w:top w:w="0" w:type="dxa"/>
            <w:bottom w:w="0" w:type="dxa"/>
          </w:tblCellMar>
        </w:tblPrEx>
        <w:tc>
          <w:tcPr>
            <w:tcW w:w="1890"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No tiene dificultad</w:t>
            </w:r>
          </w:p>
        </w:tc>
        <w:tc>
          <w:tcPr>
            <w:tcW w:w="12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308.934</w:t>
            </w:r>
          </w:p>
        </w:tc>
        <w:tc>
          <w:tcPr>
            <w:tcW w:w="90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92,44</w:t>
            </w:r>
          </w:p>
        </w:tc>
        <w:tc>
          <w:tcPr>
            <w:tcW w:w="122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238.640</w:t>
            </w:r>
          </w:p>
        </w:tc>
      </w:tr>
      <w:tr w:rsidR="005B5CE3">
        <w:tblPrEx>
          <w:tblCellMar>
            <w:top w:w="0" w:type="dxa"/>
            <w:bottom w:w="0" w:type="dxa"/>
          </w:tblCellMar>
        </w:tblPrEx>
        <w:tc>
          <w:tcPr>
            <w:tcW w:w="1890"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No puede hacerlo</w:t>
            </w:r>
          </w:p>
        </w:tc>
        <w:tc>
          <w:tcPr>
            <w:tcW w:w="12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1.055</w:t>
            </w:r>
          </w:p>
        </w:tc>
        <w:tc>
          <w:tcPr>
            <w:tcW w:w="90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0,32</w:t>
            </w:r>
          </w:p>
        </w:tc>
        <w:tc>
          <w:tcPr>
            <w:tcW w:w="122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942</w:t>
            </w:r>
          </w:p>
        </w:tc>
      </w:tr>
      <w:tr w:rsidR="005B5CE3">
        <w:tblPrEx>
          <w:tblCellMar>
            <w:top w:w="0" w:type="dxa"/>
            <w:bottom w:w="0" w:type="dxa"/>
          </w:tblCellMar>
        </w:tblPrEx>
        <w:tc>
          <w:tcPr>
            <w:tcW w:w="1890"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Si, mucha dificultad</w:t>
            </w:r>
          </w:p>
        </w:tc>
        <w:tc>
          <w:tcPr>
            <w:tcW w:w="12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6.239</w:t>
            </w:r>
          </w:p>
        </w:tc>
        <w:tc>
          <w:tcPr>
            <w:tcW w:w="90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1,87</w:t>
            </w:r>
          </w:p>
        </w:tc>
        <w:tc>
          <w:tcPr>
            <w:tcW w:w="122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4.927</w:t>
            </w:r>
          </w:p>
        </w:tc>
      </w:tr>
      <w:tr w:rsidR="005B5CE3">
        <w:tblPrEx>
          <w:tblCellMar>
            <w:top w:w="0" w:type="dxa"/>
            <w:bottom w:w="0" w:type="dxa"/>
          </w:tblCellMar>
        </w:tblPrEx>
        <w:tc>
          <w:tcPr>
            <w:tcW w:w="1890"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Si, poca dificultad</w:t>
            </w:r>
          </w:p>
        </w:tc>
        <w:tc>
          <w:tcPr>
            <w:tcW w:w="12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17.961</w:t>
            </w:r>
          </w:p>
        </w:tc>
        <w:tc>
          <w:tcPr>
            <w:tcW w:w="90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5,37</w:t>
            </w:r>
          </w:p>
        </w:tc>
        <w:tc>
          <w:tcPr>
            <w:tcW w:w="122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13.191</w:t>
            </w:r>
          </w:p>
        </w:tc>
      </w:tr>
      <w:tr w:rsidR="005B5CE3">
        <w:tblPrEx>
          <w:tblCellMar>
            <w:top w:w="0" w:type="dxa"/>
            <w:bottom w:w="0" w:type="dxa"/>
          </w:tblCellMar>
        </w:tblPrEx>
        <w:tc>
          <w:tcPr>
            <w:tcW w:w="1890"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Total</w:t>
            </w:r>
          </w:p>
        </w:tc>
        <w:tc>
          <w:tcPr>
            <w:tcW w:w="12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334.189</w:t>
            </w:r>
          </w:p>
        </w:tc>
        <w:tc>
          <w:tcPr>
            <w:tcW w:w="90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100</w:t>
            </w:r>
          </w:p>
        </w:tc>
        <w:tc>
          <w:tcPr>
            <w:tcW w:w="122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257.700</w:t>
            </w:r>
          </w:p>
        </w:tc>
      </w:tr>
      <w:tr w:rsidR="005B5CE3">
        <w:tblPrEx>
          <w:tblCellMar>
            <w:top w:w="0" w:type="dxa"/>
            <w:bottom w:w="0" w:type="dxa"/>
          </w:tblCellMar>
        </w:tblPrEx>
        <w:tc>
          <w:tcPr>
            <w:tcW w:w="1890"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Prevalencia</w:t>
            </w:r>
          </w:p>
        </w:tc>
        <w:tc>
          <w:tcPr>
            <w:tcW w:w="1274"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25.255</w:t>
            </w:r>
          </w:p>
        </w:tc>
        <w:tc>
          <w:tcPr>
            <w:tcW w:w="90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8</w:t>
            </w:r>
          </w:p>
        </w:tc>
        <w:tc>
          <w:tcPr>
            <w:tcW w:w="122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19.060</w:t>
            </w:r>
          </w:p>
        </w:tc>
      </w:tr>
    </w:tbl>
    <w:p w:rsidR="005B5CE3" w:rsidRDefault="00642485">
      <w:pPr>
        <w:pStyle w:val="Standard"/>
      </w:pPr>
      <w:r>
        <w:rPr>
          <w:b/>
          <w:sz w:val="18"/>
          <w:szCs w:val="18"/>
        </w:rPr>
        <w:t>Fuente: Estimación propia en base Censo 2011.</w:t>
      </w:r>
    </w:p>
    <w:p w:rsidR="005B5CE3" w:rsidRDefault="005B5CE3">
      <w:pPr>
        <w:pStyle w:val="Standard"/>
      </w:pPr>
    </w:p>
    <w:p w:rsidR="005B5CE3" w:rsidRDefault="00642485">
      <w:pPr>
        <w:pStyle w:val="Standard"/>
      </w:pPr>
      <w:r>
        <w:t xml:space="preserve">En el caso de primera infancia se desagrega por tipo de limitación (ver, oír y caminar). El número de niños y niñas menores de 6 años con alguna </w:t>
      </w:r>
      <w:r>
        <w:t>dificultad para ver es de 1639, de ellos los que tiene dificultades severas (no pueden ver) son 55.</w:t>
      </w:r>
    </w:p>
    <w:p w:rsidR="005B5CE3" w:rsidRDefault="005B5CE3">
      <w:pPr>
        <w:pStyle w:val="Standard"/>
      </w:pPr>
    </w:p>
    <w:p w:rsidR="005B5CE3" w:rsidRDefault="00642485">
      <w:pPr>
        <w:pStyle w:val="Standard"/>
      </w:pPr>
      <w:r>
        <w:rPr>
          <w:b/>
        </w:rPr>
        <w:t>Cantidad de personas según t</w:t>
      </w:r>
      <w:r>
        <w:rPr>
          <w:b/>
        </w:rPr>
        <w:t xml:space="preserve">ipos de limitaciones en primera infancia </w:t>
      </w:r>
      <w:r>
        <w:rPr>
          <w:b/>
          <w:sz w:val="22"/>
          <w:szCs w:val="22"/>
        </w:rPr>
        <w:t>[4]</w:t>
      </w:r>
      <w:r>
        <w:rPr>
          <w:b/>
        </w:rPr>
        <w:t>.</w:t>
      </w:r>
    </w:p>
    <w:tbl>
      <w:tblPr>
        <w:tblW w:w="4890" w:type="dxa"/>
        <w:tblInd w:w="-188" w:type="dxa"/>
        <w:tblLayout w:type="fixed"/>
        <w:tblCellMar>
          <w:left w:w="10" w:type="dxa"/>
          <w:right w:w="10" w:type="dxa"/>
        </w:tblCellMar>
        <w:tblLook w:val="0000" w:firstRow="0" w:lastRow="0" w:firstColumn="0" w:lastColumn="0" w:noHBand="0" w:noVBand="0"/>
      </w:tblPr>
      <w:tblGrid>
        <w:gridCol w:w="2010"/>
        <w:gridCol w:w="960"/>
        <w:gridCol w:w="959"/>
        <w:gridCol w:w="961"/>
      </w:tblGrid>
      <w:tr w:rsidR="005B5CE3">
        <w:tblPrEx>
          <w:tblCellMar>
            <w:top w:w="0" w:type="dxa"/>
            <w:bottom w:w="0" w:type="dxa"/>
          </w:tblCellMar>
        </w:tblPrEx>
        <w:tc>
          <w:tcPr>
            <w:tcW w:w="2009" w:type="dxa"/>
            <w:tcBorders>
              <w:top w:val="single" w:sz="8" w:space="0" w:color="000001"/>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 xml:space="preserve"> </w:t>
            </w:r>
          </w:p>
        </w:tc>
        <w:tc>
          <w:tcPr>
            <w:tcW w:w="960"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ver</w:t>
            </w:r>
          </w:p>
        </w:tc>
        <w:tc>
          <w:tcPr>
            <w:tcW w:w="959"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oir</w:t>
            </w:r>
          </w:p>
        </w:tc>
        <w:tc>
          <w:tcPr>
            <w:tcW w:w="961" w:type="dxa"/>
            <w:tcBorders>
              <w:top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center"/>
            </w:pPr>
            <w:r>
              <w:rPr>
                <w:sz w:val="20"/>
                <w:szCs w:val="20"/>
              </w:rPr>
              <w:t>caminar</w:t>
            </w:r>
          </w:p>
        </w:tc>
      </w:tr>
      <w:tr w:rsidR="005B5CE3">
        <w:tblPrEx>
          <w:tblCellMar>
            <w:top w:w="0" w:type="dxa"/>
            <w:bottom w:w="0" w:type="dxa"/>
          </w:tblCellMar>
        </w:tblPrEx>
        <w:tc>
          <w:tcPr>
            <w:tcW w:w="200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Si, alguna dificultad</w:t>
            </w:r>
          </w:p>
        </w:tc>
        <w:tc>
          <w:tcPr>
            <w:tcW w:w="96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1.207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793</w:t>
            </w:r>
          </w:p>
        </w:tc>
        <w:tc>
          <w:tcPr>
            <w:tcW w:w="96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689</w:t>
            </w:r>
          </w:p>
        </w:tc>
      </w:tr>
      <w:tr w:rsidR="005B5CE3">
        <w:tblPrEx>
          <w:tblCellMar>
            <w:top w:w="0" w:type="dxa"/>
            <w:bottom w:w="0" w:type="dxa"/>
          </w:tblCellMar>
        </w:tblPrEx>
        <w:tc>
          <w:tcPr>
            <w:tcW w:w="200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Si, mucha dificultad</w:t>
            </w:r>
          </w:p>
        </w:tc>
        <w:tc>
          <w:tcPr>
            <w:tcW w:w="96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377</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203</w:t>
            </w:r>
          </w:p>
        </w:tc>
        <w:tc>
          <w:tcPr>
            <w:tcW w:w="96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259</w:t>
            </w:r>
          </w:p>
        </w:tc>
      </w:tr>
      <w:tr w:rsidR="005B5CE3">
        <w:tblPrEx>
          <w:tblCellMar>
            <w:top w:w="0" w:type="dxa"/>
            <w:bottom w:w="0" w:type="dxa"/>
          </w:tblCellMar>
        </w:tblPrEx>
        <w:tc>
          <w:tcPr>
            <w:tcW w:w="200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Si, no puede hacerlo</w:t>
            </w:r>
          </w:p>
        </w:tc>
        <w:tc>
          <w:tcPr>
            <w:tcW w:w="96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55</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73</w:t>
            </w:r>
          </w:p>
        </w:tc>
        <w:tc>
          <w:tcPr>
            <w:tcW w:w="96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299</w:t>
            </w:r>
          </w:p>
        </w:tc>
      </w:tr>
      <w:tr w:rsidR="005B5CE3">
        <w:tblPrEx>
          <w:tblCellMar>
            <w:top w:w="0" w:type="dxa"/>
            <w:bottom w:w="0" w:type="dxa"/>
          </w:tblCellMar>
        </w:tblPrEx>
        <w:tc>
          <w:tcPr>
            <w:tcW w:w="200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Total</w:t>
            </w:r>
          </w:p>
        </w:tc>
        <w:tc>
          <w:tcPr>
            <w:tcW w:w="96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1.639</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1.069</w:t>
            </w:r>
          </w:p>
        </w:tc>
        <w:tc>
          <w:tcPr>
            <w:tcW w:w="96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1.247</w:t>
            </w:r>
          </w:p>
        </w:tc>
      </w:tr>
      <w:tr w:rsidR="005B5CE3">
        <w:tblPrEx>
          <w:tblCellMar>
            <w:top w:w="0" w:type="dxa"/>
            <w:bottom w:w="0" w:type="dxa"/>
          </w:tblCellMar>
        </w:tblPrEx>
        <w:tc>
          <w:tcPr>
            <w:tcW w:w="2009" w:type="dxa"/>
            <w:tcBorders>
              <w:left w:val="single" w:sz="8" w:space="0" w:color="000001"/>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pPr>
            <w:r>
              <w:rPr>
                <w:sz w:val="20"/>
                <w:szCs w:val="20"/>
              </w:rPr>
              <w:t>Prevalencia %</w:t>
            </w:r>
          </w:p>
        </w:tc>
        <w:tc>
          <w:tcPr>
            <w:tcW w:w="960"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0,64</w:t>
            </w:r>
          </w:p>
        </w:tc>
        <w:tc>
          <w:tcPr>
            <w:tcW w:w="959"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0,42</w:t>
            </w:r>
          </w:p>
        </w:tc>
        <w:tc>
          <w:tcPr>
            <w:tcW w:w="961" w:type="dxa"/>
            <w:tcBorders>
              <w:bottom w:val="single" w:sz="8" w:space="0" w:color="000001"/>
              <w:right w:val="single" w:sz="8" w:space="0" w:color="000001"/>
            </w:tcBorders>
            <w:tcMar>
              <w:top w:w="0" w:type="dxa"/>
              <w:left w:w="108" w:type="dxa"/>
              <w:bottom w:w="0" w:type="dxa"/>
              <w:right w:w="108" w:type="dxa"/>
            </w:tcMar>
            <w:vAlign w:val="bottom"/>
          </w:tcPr>
          <w:p w:rsidR="005B5CE3" w:rsidRDefault="00642485">
            <w:pPr>
              <w:pStyle w:val="Standard"/>
              <w:ind w:left="60"/>
              <w:jc w:val="right"/>
            </w:pPr>
            <w:r>
              <w:rPr>
                <w:sz w:val="20"/>
                <w:szCs w:val="20"/>
              </w:rPr>
              <w:t>0,72</w:t>
            </w:r>
          </w:p>
        </w:tc>
      </w:tr>
    </w:tbl>
    <w:p w:rsidR="005B5CE3" w:rsidRDefault="00642485">
      <w:pPr>
        <w:pStyle w:val="Standard"/>
      </w:pPr>
      <w:r>
        <w:rPr>
          <w:b/>
          <w:sz w:val="18"/>
          <w:szCs w:val="18"/>
        </w:rPr>
        <w:t>Fuente: Estimación propia en base Censo 2011</w:t>
      </w:r>
    </w:p>
    <w:p w:rsidR="005B5CE3" w:rsidRDefault="005B5CE3">
      <w:pPr>
        <w:pStyle w:val="Standard"/>
      </w:pPr>
    </w:p>
    <w:p w:rsidR="005B5CE3" w:rsidRDefault="00642485">
      <w:pPr>
        <w:pStyle w:val="Standard"/>
      </w:pPr>
      <w:r>
        <w:rPr>
          <w:b/>
        </w:rPr>
        <w:t>3.2. Situación de la primera infancia</w:t>
      </w:r>
    </w:p>
    <w:p w:rsidR="005B5CE3" w:rsidRDefault="005B5CE3">
      <w:pPr>
        <w:pStyle w:val="Standard"/>
      </w:pPr>
    </w:p>
    <w:p w:rsidR="005B5CE3" w:rsidRDefault="00642485">
      <w:pPr>
        <w:pStyle w:val="Standard"/>
      </w:pPr>
      <w:r>
        <w:t xml:space="preserve">En el marco del esfuerzo por mejorar la situación de la primera infancia, </w:t>
      </w:r>
      <w:r>
        <w:t xml:space="preserve">Uruguay ha avanzado considerablemente en su conocimiento del estado de situación de este ciclo de vida. Así, en 2013 se </w:t>
      </w:r>
      <w:r>
        <w:t>implementó</w:t>
      </w:r>
      <w:r>
        <w:t xml:space="preserve"> la primera Encuesta Nacional de Nutrición, Salud y </w:t>
      </w:r>
      <w:r>
        <w:lastRenderedPageBreak/>
        <w:t>Desarrollo Infantil (ENDIS), que brinda un completo panorama acerca de los</w:t>
      </w:r>
      <w:r>
        <w:t xml:space="preserve"> niños menores de cuatro años</w:t>
      </w:r>
      <w:r>
        <w:rPr>
          <w:rStyle w:val="Refdenotaalpie"/>
        </w:rPr>
        <w:footnoteReference w:id="3"/>
      </w:r>
      <w:r>
        <w:t>. En la misma línea, el Reporte Uruguay 2015 incluy</w:t>
      </w:r>
      <w:r>
        <w:t xml:space="preserve">e un capítulo de Desarrollo Infantil Temprano, que combinando datos de la propia ENDIS y de la Encuesta Continua de Hogares (ECH) analiza en profundidad las condiciones de este tramo etario. Los datos muestran que el país ha avanzado significativamente en </w:t>
      </w:r>
      <w:r>
        <w:t>lo que refiere a la mejora de las condiciones de vida de este ciclo. Los niños y niñas tienen menos probabilidades de morir en sus primeros años de vida, gozan, desde edades más tempranas, de mejor salud, nutrición,  servicios de cuidados y educativos</w:t>
      </w:r>
      <w:r>
        <w:rPr>
          <w:rStyle w:val="Refdenotaalpie"/>
        </w:rPr>
        <w:footnoteReference w:id="4"/>
      </w:r>
      <w:r>
        <w:t>.</w:t>
      </w:r>
    </w:p>
    <w:p w:rsidR="005B5CE3" w:rsidRDefault="005B5CE3">
      <w:pPr>
        <w:pStyle w:val="Standard"/>
        <w:spacing w:after="200"/>
      </w:pPr>
    </w:p>
    <w:p w:rsidR="005B5CE3" w:rsidRDefault="00642485">
      <w:pPr>
        <w:pStyle w:val="Standard"/>
        <w:spacing w:after="200"/>
      </w:pPr>
      <w:r>
        <w:t xml:space="preserve">En este apartado se analizan dimensiones que son relevantes para la etapa de la primera infancia como ser embarazo y </w:t>
      </w:r>
      <w:r>
        <w:t>nacimiento, estado nutricional, mortalidad infantil, prematurez, inserción educativa, alteraciones en el desarrollo y desarrollo psicomotor y pautas de crianza y maltrato infantil.</w:t>
      </w:r>
    </w:p>
    <w:p w:rsidR="005B5CE3" w:rsidRDefault="00642485">
      <w:pPr>
        <w:pStyle w:val="Standard"/>
        <w:spacing w:after="200"/>
      </w:pPr>
      <w:r>
        <w:rPr>
          <w:i/>
        </w:rPr>
        <w:t>Planificación del embarazo y cuidados durante el embarazo</w:t>
      </w:r>
    </w:p>
    <w:p w:rsidR="005B5CE3" w:rsidRDefault="00642485">
      <w:pPr>
        <w:pStyle w:val="Standard"/>
        <w:spacing w:after="200"/>
      </w:pPr>
      <w:r>
        <w:t xml:space="preserve">En nuestro país </w:t>
      </w:r>
      <w:r>
        <w:t>el 99% de los partos son institucionalizados, este dato da cuenta del avance en materia de accesibilidad y cobertura en salud. De acuerdo a los datos arrojados por la ENDIS 2013, los embarazos planeados y no planeados se dividen prácticamente en mitades. D</w:t>
      </w:r>
      <w:r>
        <w:t>entro de los embarazos no planeados, la mitad de las madres expresó que deseaba tener hijos pero más adelante, y la otra mitad que no deseaba tener más hijos. El Reporte Uruguay 2015 agrega que estos embarazos no planeados se producen a pesar de contar con</w:t>
      </w:r>
      <w:r>
        <w:t xml:space="preserve"> conocimiento y uso de métodos anticonceptivos (MIDES - OPP, 2015: 218).</w:t>
      </w:r>
    </w:p>
    <w:p w:rsidR="005B5CE3" w:rsidRDefault="00642485">
      <w:pPr>
        <w:pStyle w:val="Standard"/>
        <w:spacing w:after="200"/>
      </w:pPr>
      <w:r>
        <w:t>Respecto a los cuidados durante el embarazo, la ENDIS 2013 reporta que el 16,3% de las embarazadas manifestó haber fumado al menos un cigarrillo durante el período de gestación. La pr</w:t>
      </w:r>
      <w:r>
        <w:t xml:space="preserve">obabilidad de este evento se incrementa si no se trata del primer hijo, con mujeres de menor edad,  de menor nivel educativo,  en situación de pobreza y ante el </w:t>
      </w:r>
      <w:r>
        <w:lastRenderedPageBreak/>
        <w:t>embarazo no planificado. Un 13,9% manifestó haber consumido alcohol, y en este caso no se encue</w:t>
      </w:r>
      <w:r>
        <w:t>ntran diferencias relevantes según característica de la madre.</w:t>
      </w:r>
    </w:p>
    <w:p w:rsidR="005B5CE3" w:rsidRDefault="00642485">
      <w:pPr>
        <w:pStyle w:val="Standard"/>
        <w:spacing w:after="200"/>
      </w:pPr>
      <w:r>
        <w:rPr>
          <w:i/>
        </w:rPr>
        <w:t>Controles prenatales, cobertura de salud y controles de recién nacidos</w:t>
      </w:r>
    </w:p>
    <w:p w:rsidR="005B5CE3" w:rsidRDefault="00642485">
      <w:pPr>
        <w:pStyle w:val="Standard"/>
        <w:spacing w:after="200"/>
      </w:pPr>
      <w:r>
        <w:t>Durante el embarazo el MSP recomienda la realización de al menos 5 controles prenatales. En 2013, el 92,5% de las embaraza</w:t>
      </w:r>
      <w:r>
        <w:t>das tuvo cinco controles o más, 5,7% entre uno y cuatro controles, y 1,5% ningún control. El promedio de controles fue de 9,  y el 21% tuvo su primer control pasado el plazo recomendado (14 semanas). Por otra parte, el 99,7% de los partos ocurrió en centro</w:t>
      </w:r>
      <w:r>
        <w:t>s asistenciales, y el 74% contó con la asistencia de personal médico (MIDES - OPP, 2015: 221-222).</w:t>
      </w:r>
    </w:p>
    <w:p w:rsidR="005B5CE3" w:rsidRDefault="00642485">
      <w:pPr>
        <w:pStyle w:val="Standard"/>
        <w:spacing w:after="200"/>
      </w:pPr>
      <w:r>
        <w:t>La cobertura de salud para los niños de 0 a 4 años es prácticamente universal; sólo el 0,4% no está inscrito en ningún prestador de salud. En el año  2014 el</w:t>
      </w:r>
      <w:r>
        <w:t xml:space="preserve"> 77,4% de los recién nacidos tuvo su primer control antes del día 10, tal como es recomendado, y el 94% durante el primer mes de vida. Al mismo año, el 99% cuenta con carné de salud, y el 96,8% dispone de carné de vacunas (MIDES - OPP, 2015: 222).</w:t>
      </w:r>
    </w:p>
    <w:p w:rsidR="005B5CE3" w:rsidRDefault="00642485">
      <w:pPr>
        <w:pStyle w:val="Standard"/>
        <w:spacing w:after="200"/>
      </w:pPr>
      <w:r>
        <w:rPr>
          <w:i/>
        </w:rPr>
        <w:t>Embarazo</w:t>
      </w:r>
      <w:r>
        <w:rPr>
          <w:i/>
        </w:rPr>
        <w:t xml:space="preserve"> y nacimiento</w:t>
      </w:r>
    </w:p>
    <w:p w:rsidR="005B5CE3" w:rsidRDefault="00642485">
      <w:pPr>
        <w:pStyle w:val="Standard"/>
        <w:spacing w:after="200"/>
      </w:pPr>
      <w:r>
        <w:t xml:space="preserve">El aumento de la tasa de cesáreas tanto a nivel mundial como a nivel nacional es un tema preocupante. Si bien es una práctica obstétrica que ha disminuido la morbimortalidad materno y  perinatal en los casos en que está indicada, los riesgos </w:t>
      </w:r>
      <w:r>
        <w:t>que conlleva cuando no está indicada son mayores a los beneficios asociados. La realización de una intervención de tales características cuando no es necesaria presenta riesgos tanto para la mujer como para el niño/a a corto, mediano y largo plazo.</w:t>
      </w:r>
    </w:p>
    <w:p w:rsidR="005B5CE3" w:rsidRDefault="00642485">
      <w:pPr>
        <w:pStyle w:val="Standard"/>
        <w:spacing w:after="200"/>
      </w:pPr>
      <w:r>
        <w:t>Defini</w:t>
      </w:r>
      <w:r>
        <w:t>r una tasa óptima de cesáreas para una población es una tarea difícil, a nivel científico se afirma que una tasa superior al 10% no estaría asociada a la reducción de la mortalidad materna y neonatal, sino que respondería a otros factores. La tasa de cesár</w:t>
      </w:r>
      <w:r>
        <w:t xml:space="preserve">eas es un indicador que depende directamente de las características demográficas de la población y de los recursos sanitarios disponibles. En los últimos años la tasa de cesáreas a nivel mundial </w:t>
      </w:r>
      <w:r>
        <w:lastRenderedPageBreak/>
        <w:t>ha venido aumentando,</w:t>
      </w:r>
      <w:r>
        <w:rPr>
          <w:rStyle w:val="Refdenotaalpie"/>
        </w:rPr>
        <w:footnoteReference w:id="5"/>
      </w:r>
      <w:r>
        <w:t xml:space="preserve"> lo cual estaría relacionado con un exceso de dicha práctica obstétrica.</w:t>
      </w:r>
    </w:p>
    <w:p w:rsidR="005B5CE3" w:rsidRDefault="00642485">
      <w:pPr>
        <w:pStyle w:val="Standard"/>
        <w:spacing w:after="200"/>
      </w:pPr>
      <w:r>
        <w:t>Uruguay presenta una tasa de cesárea que se encuentra en e</w:t>
      </w:r>
      <w:r>
        <w:t>l 42% (2012), registrándose un aumento tanto en el interior del país como en la capital. Sin embargo es de destacar que se observa que las instituciones privadas de salud, y en especial en Montevideo, presentan un mayor índice de cesáreas en comparación co</w:t>
      </w:r>
      <w:r>
        <w:t>n las instituciones públicas y con el interior del país.</w:t>
      </w:r>
    </w:p>
    <w:p w:rsidR="005B5CE3" w:rsidRDefault="00642485">
      <w:pPr>
        <w:pStyle w:val="Standard"/>
        <w:spacing w:after="200"/>
      </w:pPr>
      <w:r>
        <w:rPr>
          <w:i/>
        </w:rPr>
        <w:t>Estado Nutricional</w:t>
      </w:r>
    </w:p>
    <w:p w:rsidR="005B5CE3" w:rsidRDefault="00642485">
      <w:pPr>
        <w:pStyle w:val="Standard"/>
        <w:spacing w:after="200"/>
      </w:pPr>
      <w:r>
        <w:t>En base a los datos registrados por el SIP para el año 2013,  el 61% de las mujeres comenzó el embarazo con un estado nutricional normal, un 4,8% con bajo peso y el resto con probl</w:t>
      </w:r>
      <w:r>
        <w:t>emas de sobrepeso y/o obesidad.  La obesidad afecta al 13% de las embarazadas adultas y al 7% de las adolescentes. El porcentaje de mujeres con anemia aumenta a medida que se desarrolla el embarazo, alcanzando al 18% de las mujeres luego de la semana 20 de</w:t>
      </w:r>
      <w:r>
        <w:t>l embarazo (MIDES - OPP, 2015: 227).</w:t>
      </w:r>
    </w:p>
    <w:p w:rsidR="005B5CE3" w:rsidRDefault="00642485">
      <w:pPr>
        <w:pStyle w:val="Standard"/>
        <w:spacing w:after="200"/>
      </w:pPr>
      <w:r>
        <w:t>Uruguay se destaca por tener un comienzo de la lactancia materna casi universal, del 97%. No obstante, 12% de los recién nacidos egresó de la maternidad sin lactancia exclusiva en 2013. De acuerdo al Sistema de Informac</w:t>
      </w:r>
      <w:r>
        <w:t>ión Perinatal (SIP). La alimentación con leche materna hasta los 6 meses, recomendada por la OMS y el MSP, alcanza al 49.2% de los niños, confirmando una tendencia de crecimiento sostenido desde su primera medición en 1996, en donde no llegaba al 10%. Otro</w:t>
      </w:r>
      <w:r>
        <w:t>s aspectos señalados como positivos son el porcentaje de niños que comen la cantidad recomendada de comidas al día y que siguen otras prácticas saludables de alimentación. No obstante, se destaca como aspecto negativo la amplia inclusión de alimentos ultra</w:t>
      </w:r>
      <w:r>
        <w:t>procesados en las dietas de los niños (MIDES - OPP, 2015: 220-221).</w:t>
      </w:r>
    </w:p>
    <w:p w:rsidR="005B5CE3" w:rsidRDefault="00642485">
      <w:pPr>
        <w:pStyle w:val="Standard"/>
        <w:spacing w:after="200"/>
      </w:pPr>
      <w:r>
        <w:t>El problema nutricional de mayor relevancia para este tramo etario es el retraso en el crecimiento. Según el primer informe de la Encuesta Nacional de Salud, Nutrición y Desarrollo Infanti</w:t>
      </w:r>
      <w:r>
        <w:t xml:space="preserve">l (ENDIS) se observa que el 5% de los niños de 0 a 3 años presentan retraso en el crecimiento, es decir, una talla menor en relación a la esperada para la edad. Los </w:t>
      </w:r>
      <w:r>
        <w:lastRenderedPageBreak/>
        <w:t>principales factores asociados a ello son: bajo peso al nacer, bajo peso pregestacional mat</w:t>
      </w:r>
      <w:r>
        <w:t>erno, baja talla materna, la prematurez, la obesidad, una escolaridad materna menor a 9 años, pertenecer al subsector público de salud y ser varón.</w:t>
      </w:r>
    </w:p>
    <w:p w:rsidR="005B5CE3" w:rsidRDefault="00642485">
      <w:pPr>
        <w:pStyle w:val="Standard"/>
        <w:spacing w:after="200"/>
      </w:pPr>
      <w:r>
        <w:t>En relación a la prevalencia de la anemia, la Encuesta Nacional de Estado Nutricional, Prácticas de Alimenta</w:t>
      </w:r>
      <w:r>
        <w:t xml:space="preserve">ción y Anemia realizada en el año 2011, muestra que en los niños y niñas de 6 a 23 meses la prevalencia de la anemia es de 31.5% con un intervalo de confianza de 28.1% a 34.9%.  </w:t>
      </w:r>
    </w:p>
    <w:p w:rsidR="005B5CE3" w:rsidRDefault="005B5CE3">
      <w:pPr>
        <w:pStyle w:val="Standard"/>
        <w:keepNext/>
        <w:widowControl w:val="0"/>
      </w:pPr>
    </w:p>
    <w:p w:rsidR="005B5CE3" w:rsidRDefault="00642485">
      <w:pPr>
        <w:pStyle w:val="Standard"/>
        <w:keepNext/>
        <w:widowControl w:val="0"/>
      </w:pPr>
      <w:r>
        <w:t>En relación a los problemas nutricionales vinculados al sobrepeso y la obesi</w:t>
      </w:r>
      <w:r>
        <w:t xml:space="preserve">dad, según los datos de la ENDIS (2015), el 9.6% de los niños y niñas menores de 2 años de edad presentan una talla por encima de 2 desviaciones estándar (DE). En la franja etaria de 2 a 4 años la prevalencia aumenta, observándose que el 11.3% presenta un </w:t>
      </w:r>
      <w:r>
        <w:t>índice de masa corporal de 2 DE. La macrosomía es uno de los principales factores de riesgo en lo que refiere al aumento de la prevalencia de obesidad llegando a alcanzar el 12.2% (ENAyA 2011). Por otra parte, se observa que en los casos de obesidad la ten</w:t>
      </w:r>
      <w:r>
        <w:t>dencia a su aumento es creciente a lo largo del ciclo vital.</w:t>
      </w:r>
    </w:p>
    <w:p w:rsidR="005B5CE3" w:rsidRDefault="005B5CE3">
      <w:pPr>
        <w:pStyle w:val="Standard"/>
        <w:keepNext/>
        <w:widowControl w:val="0"/>
      </w:pPr>
    </w:p>
    <w:p w:rsidR="005B5CE3" w:rsidRDefault="00642485">
      <w:pPr>
        <w:pStyle w:val="Standard"/>
        <w:spacing w:after="200"/>
      </w:pPr>
      <w:r>
        <w:rPr>
          <w:i/>
        </w:rPr>
        <w:t>Mortalidad infantil</w:t>
      </w:r>
    </w:p>
    <w:p w:rsidR="005B5CE3" w:rsidRDefault="00642485">
      <w:pPr>
        <w:pStyle w:val="Standard"/>
        <w:spacing w:after="200"/>
      </w:pPr>
      <w:r>
        <w:t>La mortalidad infantil se ha venido reduciendo consistentemente y desde 2008 situándose por debajo de 10 por cada mil nacidos vivos. Para el año 201</w:t>
      </w:r>
      <w:r>
        <w:t>5</w:t>
      </w:r>
      <w:r>
        <w:t xml:space="preserve"> alcanzó el valor históri</w:t>
      </w:r>
      <w:r>
        <w:t>co más bajo</w:t>
      </w:r>
      <w:r>
        <w:rPr>
          <w:rFonts w:ascii="Arial" w:eastAsia="Arial" w:hAnsi="Arial" w:cs="Arial"/>
          <w:color w:val="1B1B1B"/>
          <w:sz w:val="23"/>
          <w:szCs w:val="23"/>
          <w:shd w:val="clear" w:color="auto" w:fill="FFFFFF"/>
        </w:rPr>
        <w:t xml:space="preserve"> </w:t>
      </w:r>
      <w:r>
        <w:t>de la historia de Uruguay desde que se llevan registros:</w:t>
      </w:r>
      <w:r>
        <w:t xml:space="preserve"> 7,</w:t>
      </w:r>
      <w:r>
        <w:t>4</w:t>
      </w:r>
      <w:r>
        <w:t>/1.000 de acuerdo a datos registrados por el MSP. Con relación a la mortalidad de los niños de 1 a 4 años, la tasa es de 10,1/1.000 cifra muy inferior al 23,4/1.000 de 1990.</w:t>
      </w:r>
    </w:p>
    <w:p w:rsidR="005B5CE3" w:rsidRDefault="00642485">
      <w:pPr>
        <w:pStyle w:val="Standard"/>
        <w:spacing w:after="200"/>
      </w:pPr>
      <w:r>
        <w:rPr>
          <w:i/>
        </w:rPr>
        <w:t>Premature</w:t>
      </w:r>
      <w:r>
        <w:rPr>
          <w:i/>
        </w:rPr>
        <w:t>z</w:t>
      </w:r>
    </w:p>
    <w:p w:rsidR="005B5CE3" w:rsidRDefault="00642485">
      <w:pPr>
        <w:pStyle w:val="Standard"/>
        <w:spacing w:after="200"/>
      </w:pPr>
      <w:r>
        <w:t>Una de las principales causas de mortalidad infantil, en especial en el período neonatal (primeros 28 días de vida), es la prematurez, representando el componente más duro de la mortalidad infantil. Las cifras a nivel mundial en los últimos años muestran</w:t>
      </w:r>
      <w:r>
        <w:t xml:space="preserve"> un aumento en las tasas de nacimientos prematuros. Este fenómeno se debe, según la OMS, a diversos factores entre los cuales se identifican: retraso en el calendario reproductivo de las mujeres y aumento de la edad materna del primer hijo/a; problemas rel</w:t>
      </w:r>
      <w:r>
        <w:t xml:space="preserve">acionados con la salud materna (hipertensión y diabetes); un mayor uso de tratamientos de reproducción asistida; </w:t>
      </w:r>
      <w:r>
        <w:lastRenderedPageBreak/>
        <w:t>cambios en las prácticas obstétricas, es decir el aumento de cesáreas realizadas antes de que el embarazo llegue a término.</w:t>
      </w:r>
    </w:p>
    <w:p w:rsidR="005B5CE3" w:rsidRDefault="00642485">
      <w:pPr>
        <w:pStyle w:val="Standard"/>
        <w:keepNext/>
        <w:widowControl w:val="0"/>
      </w:pPr>
      <w:r>
        <w:t>A nivel país las ca</w:t>
      </w:r>
      <w:r>
        <w:t xml:space="preserve">usas de mortalidad neonatal se han mantenido, observándose que las afecciones del período perinatal más frecuentes son las relacionadas con la prematurez  y las malformaciones congénitas que representan el 52.1% y el 28.7% respectivamente. Según los datos </w:t>
      </w:r>
      <w:r>
        <w:t>registrados por el MSP (2014), el 9% del total de nacimientos se producen prematuramente.</w:t>
      </w:r>
    </w:p>
    <w:p w:rsidR="005B5CE3" w:rsidRDefault="005B5CE3">
      <w:pPr>
        <w:pStyle w:val="Standard"/>
        <w:keepNext/>
        <w:widowControl w:val="0"/>
      </w:pPr>
    </w:p>
    <w:p w:rsidR="005B5CE3" w:rsidRDefault="00642485">
      <w:pPr>
        <w:pStyle w:val="Standard"/>
        <w:keepNext/>
        <w:widowControl w:val="0"/>
      </w:pPr>
      <w:r>
        <w:t>Si se analizan las causas de prematurez se observa que existe un componente “evitable” y otro “inevitable”. Las primeras refieren a aquellas que dependen del control</w:t>
      </w:r>
      <w:r>
        <w:t xml:space="preserve"> adecuado del embarazo, no sólo en la cantidad de controles sino también en la calidad de los mismos; y una adecuada asistencia del parto en lo que refiere al lugar, personal, traslado.  Las segundas se relacionan con las causas genéticas, la prematuridad </w:t>
      </w:r>
      <w:r>
        <w:t>por decisión obstétrica, entre otros.</w:t>
      </w:r>
    </w:p>
    <w:p w:rsidR="005B5CE3" w:rsidRDefault="005B5CE3">
      <w:pPr>
        <w:pStyle w:val="Standard"/>
        <w:keepNext/>
        <w:widowControl w:val="0"/>
      </w:pPr>
    </w:p>
    <w:p w:rsidR="005B5CE3" w:rsidRDefault="00642485">
      <w:pPr>
        <w:pStyle w:val="Standard"/>
        <w:spacing w:after="200"/>
      </w:pPr>
      <w:r>
        <w:rPr>
          <w:i/>
        </w:rPr>
        <w:t>Inserción educativa</w:t>
      </w:r>
    </w:p>
    <w:p w:rsidR="005B5CE3" w:rsidRDefault="00642485">
      <w:pPr>
        <w:pStyle w:val="Standard"/>
        <w:spacing w:after="200"/>
      </w:pPr>
      <w:r>
        <w:t>Solo un tercio de los niños menores de 4 años asiste a algún centro de cuidado infantil. Los motivos de no asistencia se concentran en dos categorías: por edad temprana del niño y por cuidados fami</w:t>
      </w:r>
      <w:r>
        <w:t>liares, con un tercio de las respuestas en cada opción. El otro tercio se integra por respuestas variadas tales como problemas logísticos, costo, cuidados contratados en el hogar, miedo a enfermedades y desconocimiento de la existencia de estos centros, en</w:t>
      </w:r>
      <w:r>
        <w:t>tre otras. El 59% de las familias envían a sus hijos porque consideran que es bueno para ellos y el 27% porque la madre trabaja. El 21% de los niños pobres asisten a un centro de educación infantil, en tanto este porcentaje aumenta al 79% en hogares no pob</w:t>
      </w:r>
      <w:r>
        <w:t>res. Solo la mitad de las madres (52%) piensa que existen opciones de cuidado en el barrio donde reside o cerca de allí (Grupo Interinstitucional De primera y para siempre, 2015: 10-11).</w:t>
      </w:r>
    </w:p>
    <w:p w:rsidR="005B5CE3" w:rsidRDefault="00642485">
      <w:pPr>
        <w:pStyle w:val="Standard"/>
        <w:spacing w:after="200"/>
      </w:pPr>
      <w:r>
        <w:t>En la población de 4 y 5 años la asistencia a centros de educación in</w:t>
      </w:r>
      <w:r>
        <w:t xml:space="preserve">icial aumenta considerablemente. En 2014, de acuerdo a datos de la ANEP, la tasa de asistencia de este segmento fue de 91%. Casi el 70% asisten a centros públicos, y el resto a privados. No existen diferencias significativas de asistencia entre Montevideo </w:t>
      </w:r>
      <w:r>
        <w:t>e Interior. Por otra parte, se encuentra que la asistencia insuficiente a educación inicial (niños que asisten más de 70 pero menos de 140 días al año) muestra una tendencia descendente en los últimos años, y se ubica en 2014 en el entorno del 30% (MIDES -</w:t>
      </w:r>
      <w:r>
        <w:t xml:space="preserve"> OPP, 2015: 61-62).</w:t>
      </w:r>
    </w:p>
    <w:p w:rsidR="005B5CE3" w:rsidRDefault="00642485">
      <w:pPr>
        <w:pStyle w:val="Standard"/>
        <w:spacing w:after="200"/>
      </w:pPr>
      <w:r>
        <w:rPr>
          <w:i/>
        </w:rPr>
        <w:t>Alteraciones en el desarrollo</w:t>
      </w:r>
    </w:p>
    <w:p w:rsidR="005B5CE3" w:rsidRDefault="00642485">
      <w:pPr>
        <w:pStyle w:val="Standard"/>
        <w:spacing w:after="200"/>
      </w:pPr>
      <w:r>
        <w:lastRenderedPageBreak/>
        <w:t>Los primeros años de vida son fundamentales para el adecuado desarrollo y crecimiento del ser humano. La primera infancia es un ciclo de vida altamente sensible a las influencias que provienen del entorno f</w:t>
      </w:r>
      <w:r>
        <w:t>amiliar y social en el que se encuentran los niños y niñas. Las primeras experiencias y vivencias impactan sobre diversos aspectos como la socialización y el aprendizaje. Durante los primeros 5 años de vida se establece la arquitectura del sistema nervioso</w:t>
      </w:r>
      <w:r>
        <w:t xml:space="preserve"> y se definen los patrones de respuesta ante las situaciones de estrés, tanto físico como emocional del individuo. Es una etapa del desarrollo en la que se producen conexiones neuronales a gran velocidad. En el primer año de vida el cerebro crece más del d</w:t>
      </w:r>
      <w:r>
        <w:t xml:space="preserve">oble y a los dos años de edad el cerebro alcanza el nivel de un adulto, a los tres años las sinapsis duplican a las del cerebro de un adulto. Por lo cual, los primeros años de vida son “fases críticas” del desarrollo, ya que son momentos cruciales para la </w:t>
      </w:r>
      <w:r>
        <w:t>adquisición de determinadas funciones.</w:t>
      </w:r>
    </w:p>
    <w:p w:rsidR="005B5CE3" w:rsidRDefault="00642485">
      <w:pPr>
        <w:pStyle w:val="Standard"/>
        <w:spacing w:after="200"/>
      </w:pPr>
      <w:r>
        <w:t>Durante esta etapa de la vida la exposición a los estímulos ambientales de forma adecuada y oportuna determinará la adquisición de funciones que están predeterminadas, es el proceso a través del cual se conecta el ge</w:t>
      </w:r>
      <w:r>
        <w:t>notipo con el fenotipo, es decir el epigenotipo (Waddington, 1942).</w:t>
      </w:r>
    </w:p>
    <w:p w:rsidR="005B5CE3" w:rsidRDefault="00642485">
      <w:pPr>
        <w:pStyle w:val="Standard"/>
        <w:spacing w:after="200"/>
      </w:pPr>
      <w:r>
        <w:t>El concepto de epigenética explica la capacidad celular para adaptarse y transformarse a partir de los estímulos y cambios ambientales, refiere a la plasticidad neuronal, es decir a la po</w:t>
      </w:r>
      <w:r>
        <w:t>sibilidad del sistema nervioso de transformarse en respuesta a un estímulo. Tanto la detección temprana y la intervención oportuna como el control y seguimiento del proceso de desarrollo neurobiológico, son factores fundamentales para disminuir la prevalen</w:t>
      </w:r>
      <w:r>
        <w:t>cia de los trastornos o discapacidades que se puedan presentar a futuro.</w:t>
      </w:r>
      <w:r>
        <w:t xml:space="preserve"> </w:t>
      </w:r>
      <w:r>
        <w:t>Hay que señalar que existe una falta de información sobre la prevalencia de las alteraciones en el desarrollo a nivel nacional y por subsector de salud.</w:t>
      </w:r>
    </w:p>
    <w:p w:rsidR="005B5CE3" w:rsidRDefault="005B5CE3">
      <w:pPr>
        <w:pStyle w:val="Standard"/>
        <w:keepNext/>
        <w:widowControl w:val="0"/>
      </w:pPr>
    </w:p>
    <w:p w:rsidR="005B5CE3" w:rsidRDefault="00642485">
      <w:pPr>
        <w:pStyle w:val="Standard"/>
        <w:keepNext/>
        <w:widowControl w:val="0"/>
      </w:pPr>
      <w:r>
        <w:rPr>
          <w:i/>
        </w:rPr>
        <w:t>Desarrollo psicomotor</w:t>
      </w:r>
    </w:p>
    <w:p w:rsidR="005B5CE3" w:rsidRDefault="005B5CE3">
      <w:pPr>
        <w:pStyle w:val="Standard"/>
        <w:keepNext/>
        <w:widowControl w:val="0"/>
      </w:pPr>
    </w:p>
    <w:p w:rsidR="005B5CE3" w:rsidRDefault="00642485">
      <w:pPr>
        <w:pStyle w:val="Standard"/>
        <w:keepNext/>
        <w:widowControl w:val="0"/>
      </w:pPr>
      <w:r>
        <w:t xml:space="preserve">A través de la aplicación del instrumento de </w:t>
      </w:r>
      <w:r>
        <w:rPr>
          <w:i/>
        </w:rPr>
        <w:t>screening</w:t>
      </w:r>
      <w:r>
        <w:t xml:space="preserve"> desarrollado por Bedregal et al. (2007), la ENDIS 2015 encuentra que un 20% de los niños menores de 4 años presenta algún grado de alteración en su desarrollo psicomotor. El r</w:t>
      </w:r>
      <w:r>
        <w:t>ezago es algo superior entre los niños bajo la línea de pobreza y algo inferior entre los niños por encima de ésta (MIDES - OPP, 2015: 228). Cuando se evalúan las áreas evaluadas de comunicación, motricidad gruesa y fina, resolución de problemas e individu</w:t>
      </w:r>
      <w:r>
        <w:t xml:space="preserve">alidad-autonomía, se observa que los desempeños </w:t>
      </w:r>
      <w:r>
        <w:lastRenderedPageBreak/>
        <w:t>más favorables se alcanzan cuando los niños ya tienen 3 años cumplidos.  Un 18 % de los niños menores de 4 años tienen resultados de monitoreo o riesgo en al menos una de las áreas básicas del desarrollo psic</w:t>
      </w:r>
      <w:r>
        <w:t>omotor (Grupo Interinstitucional De primera y para siempre, 2015: 11).</w:t>
      </w:r>
    </w:p>
    <w:p w:rsidR="005B5CE3" w:rsidRDefault="005B5CE3">
      <w:pPr>
        <w:pStyle w:val="Standard"/>
        <w:keepNext/>
        <w:widowControl w:val="0"/>
      </w:pPr>
    </w:p>
    <w:p w:rsidR="005B5CE3" w:rsidRDefault="00642485">
      <w:pPr>
        <w:pStyle w:val="Standard"/>
        <w:spacing w:after="200"/>
      </w:pPr>
      <w:r>
        <w:rPr>
          <w:i/>
        </w:rPr>
        <w:t>Prácticas de crianza y maltrato infantil</w:t>
      </w:r>
    </w:p>
    <w:p w:rsidR="005B5CE3" w:rsidRDefault="00642485">
      <w:pPr>
        <w:pStyle w:val="Standard"/>
        <w:spacing w:after="200"/>
      </w:pPr>
      <w:r>
        <w:t>De acuerdo a datos de la ENDIS 2015, un 40.3% de los entrevistados manifiesta responder con gritos y golpes ante “caprichos” de niños. En tanto</w:t>
      </w:r>
      <w:r>
        <w:t xml:space="preserve"> que 14,2% expresa dificultades para entender a los niños que aún no hablan. El 10% responde afirmativamente a aseveraciones que denotan prácticas de crianza machistas, y 17% estima que no es necesario establecer un ritmo pautado para la alimentación de lo</w:t>
      </w:r>
      <w:r>
        <w:t>s niños. Finalmente, en base a datos de la Encuesta de Indicadores Múltiples por Conglomerados se observa que el 63% de los niños de entre 2 y 4 años es sometido a algún método de disciplina violento, ya sea psicológico o físico. Este ciclo de vida es el m</w:t>
      </w:r>
      <w:r>
        <w:t>ás afectado por este fenómeno (MIDES - OPP, 2015: 219-220).</w:t>
      </w:r>
    </w:p>
    <w:p w:rsidR="005B5CE3" w:rsidRDefault="00642485">
      <w:pPr>
        <w:pStyle w:val="Standard"/>
        <w:spacing w:after="200"/>
      </w:pPr>
      <w:r>
        <w:rPr>
          <w:b/>
        </w:rPr>
        <w:t>3.3. Situación de la infancia</w:t>
      </w:r>
    </w:p>
    <w:p w:rsidR="005B5CE3" w:rsidRDefault="00642485">
      <w:pPr>
        <w:pStyle w:val="Standard"/>
        <w:spacing w:after="200"/>
      </w:pPr>
      <w:r>
        <w:t>En este apartado se analiza la situación de la infancia uruguaya. En términos generales se caracteriza por ser una etapa de vida en la cual el acceso y la cobertura e</w:t>
      </w:r>
      <w:r>
        <w:t xml:space="preserve">n salud y educación tienen un carácter universal y consolidado a lo largo del tiempo. Sin embargo existen problemáticas asociadas a diferentes tipos de violencias y vulnerabilidades, así como también la atención en salud mental que restan por resolver. No </w:t>
      </w:r>
      <w:r>
        <w:t>obstante, claro está, cada ciclo se ve atravesado por determinadas problemáticas y particularidades distinguibles. En este período se consolidan y proyectan varias de las funciones psíquicas, físicas y sociales, las cuales requieren de un tiempo de protecc</w:t>
      </w:r>
      <w:r>
        <w:t>ión y atención consolidado. Por ello, a continuación se presentan datos para este ciclo en las dimensiones de educación, salud,  discapacidad, violencia, trabajo infantil y situación de calle.</w:t>
      </w:r>
    </w:p>
    <w:p w:rsidR="005B5CE3" w:rsidRDefault="00642485">
      <w:pPr>
        <w:pStyle w:val="Standard"/>
        <w:spacing w:after="200"/>
      </w:pPr>
      <w:r>
        <w:rPr>
          <w:i/>
        </w:rPr>
        <w:t>Educación primaria</w:t>
      </w:r>
    </w:p>
    <w:p w:rsidR="005B5CE3" w:rsidRDefault="00642485">
      <w:pPr>
        <w:pStyle w:val="Standard"/>
        <w:spacing w:after="200"/>
      </w:pPr>
      <w:r>
        <w:t>En la infancia, uno de los eventos claves de</w:t>
      </w:r>
      <w:r>
        <w:t>l desarrollo lo constituye el pasaje por la educación primaria. Una trayectoria exitosa consolida el camino hacia un ingreso a la educación media con las herramientas necesarias para dicho desafío; en cambio una trayectoria accidentada, donde conviven la a</w:t>
      </w:r>
      <w:r>
        <w:t xml:space="preserve">sistencia insuficiente, el abandono intermitente y el rezago, dificulta y condiciona la capacidad futura de los niños de enfrentar exitosamente los siguientes pasos en su formación. Asimismo, la centralidad que en esta etapa adquiere la </w:t>
      </w:r>
      <w:r>
        <w:lastRenderedPageBreak/>
        <w:t xml:space="preserve">escuela como lugar </w:t>
      </w:r>
      <w:r>
        <w:t>de socialización lleva a que las distintas formas de transitarla impacten significativamente en la trayectoria posterior general de los niños.</w:t>
      </w:r>
    </w:p>
    <w:p w:rsidR="005B5CE3" w:rsidRDefault="00642485">
      <w:pPr>
        <w:pStyle w:val="Standard"/>
        <w:spacing w:after="200"/>
      </w:pPr>
      <w:r>
        <w:t>Un primer aspecto a considerar es la cobertura de la educación primaria, medida a través de la tasa neta de asist</w:t>
      </w:r>
      <w:r>
        <w:t xml:space="preserve">encia, la cobertura se ubica en el entorno del 95%. Esta tasa se ha mantenido estable entre 2006 y 2014, y no se constatan diferencias importantes entre sexos ni por lugar de residencia de los estudiantes. El 77, 6% asiste a establecimientos públicos y el </w:t>
      </w:r>
      <w:r>
        <w:t>resto a privados (OPP – MIDES 2015: 62-63).</w:t>
      </w:r>
    </w:p>
    <w:p w:rsidR="005B5CE3" w:rsidRDefault="00642485">
      <w:pPr>
        <w:pStyle w:val="Standard"/>
        <w:spacing w:after="200"/>
      </w:pPr>
      <w:r>
        <w:t>En tanto que un segundo aspecto de relevancia es la permanencia y nivel de asistencia. La falta de permanencia es medida mediante la tasa de abandono intermitente, que representa el porcentaje de alumnos que asis</w:t>
      </w:r>
      <w:r>
        <w:t>tieron hasta 70 días al año sobre la matrícula final. A nivel agregado, el abandono intermitente no es un problema de gran magnitud en primaria. Entre 2004 y 2014 este porcentaje oscila entre 0,7 % y 1,5 %, con una tendencia decreciente en los últimos años</w:t>
      </w:r>
      <w:r>
        <w:t>. El porcentaje de asistencia insuficiente, en cambio, es mayor. En 2004 su valor fue de 6,8 %, tuvo un pico de 10 % en 2009 y decreció en 2010 y 2011; sin embargo, a partir de 2012 comienza a ascender nuevamente. Cuando se cruzan estos datos por nivel soc</w:t>
      </w:r>
      <w:r>
        <w:t>iocultural</w:t>
      </w:r>
      <w:r>
        <w:rPr>
          <w:rStyle w:val="Refdenotaalpie"/>
        </w:rPr>
        <w:footnoteReference w:id="6"/>
      </w:r>
      <w:r>
        <w:t>, se encuentra que en los quintiles más bajos tanto el abandono intermitente como la</w:t>
      </w:r>
      <w:r>
        <w:t xml:space="preserve"> asistencia insuficiente es mayor que en los quintiles más altos (OPP – MIDES, 2015: 63).</w:t>
      </w:r>
    </w:p>
    <w:p w:rsidR="005B5CE3" w:rsidRDefault="00642485">
      <w:pPr>
        <w:pStyle w:val="Standard"/>
        <w:spacing w:after="200"/>
      </w:pPr>
      <w:r>
        <w:t>Finalmente, resta analizar el desempeño en cuanto a acreditación del sistema. Para esto, se toman las tasas de repetición. Durante la última década, la tasa de repeti</w:t>
      </w:r>
      <w:r>
        <w:t>ción de 1° a 6° año se ha reducido casi a la mitad. La reducción ha ocurrido entre los niños de todos los niveles socioculturales. Sin embargo, en 2014 la tasa de repetición para el quintil 5 fue de 2,9% y para el quintil 1 de 8,5%, lo que da cuenta de una</w:t>
      </w:r>
      <w:r>
        <w:t xml:space="preserve"> brecha que aún no se ha podido cerrar. Considerando solo a las repeticiones en el primer año, que explican buena parte del total de las repeticiones, estas tendencias se mantienen. Entre 2004 y 2014 se observa un descenso de la tasa para todos los niveles</w:t>
      </w:r>
      <w:r>
        <w:t>, pero mientras que en 2014 solo un 7,9% de los niños del quintil 5 no fue promovido, este porcentaje asciende a 19,9% para los niños del quintil 1 (OPP – MIDES, 2015: 63-64).</w:t>
      </w:r>
    </w:p>
    <w:p w:rsidR="005B5CE3" w:rsidRDefault="00642485">
      <w:pPr>
        <w:pStyle w:val="Standard"/>
        <w:spacing w:after="200"/>
      </w:pPr>
      <w:r>
        <w:rPr>
          <w:i/>
        </w:rPr>
        <w:t>Salud</w:t>
      </w:r>
    </w:p>
    <w:p w:rsidR="005B5CE3" w:rsidRDefault="00642485">
      <w:pPr>
        <w:pStyle w:val="Standard"/>
      </w:pPr>
      <w:r>
        <w:lastRenderedPageBreak/>
        <w:t>A nivel sanitario, mediante la implementación del Sistema Nacional Integra</w:t>
      </w:r>
      <w:r>
        <w:t>do de Salud del año 2007, el acceso es universal mediante la coordinación y complementariedad de los dos subsistemas, público y privado.</w:t>
      </w:r>
    </w:p>
    <w:p w:rsidR="005B5CE3" w:rsidRDefault="005B5CE3">
      <w:pPr>
        <w:pStyle w:val="Standard"/>
      </w:pPr>
    </w:p>
    <w:p w:rsidR="005B5CE3" w:rsidRDefault="00642485">
      <w:pPr>
        <w:pStyle w:val="Standard"/>
      </w:pPr>
      <w:r>
        <w:t xml:space="preserve">Si bien existen mecanismos de registro, fundamentalmente el Carné del Niño/a, para la atención de los mismos y su </w:t>
      </w:r>
      <w:r>
        <w:t>adecuado control, aún no se dispone de un sistema informático que permita brindar información agregada y en tiempo real. Como consecuencia de esto no se cuenta con datos de cobertura y acceso a la salud de niños y niñas, tampoco podemos saber cuántos de és</w:t>
      </w:r>
      <w:r>
        <w:t>tos son controlados en tiempo y forma y cuántos no están accediendo al derecho a la salud. Lo mismo sucede en relación a los temas nutricionales, no se dispone de información sobre cantidad de niños con obesidad y sobrepeso siendo identificados como los pr</w:t>
      </w:r>
      <w:r>
        <w:t>incipales problemas nutricionales.</w:t>
      </w:r>
    </w:p>
    <w:p w:rsidR="005B5CE3" w:rsidRDefault="005B5CE3">
      <w:pPr>
        <w:pStyle w:val="Standard"/>
      </w:pPr>
    </w:p>
    <w:p w:rsidR="005B5CE3" w:rsidRDefault="00642485">
      <w:pPr>
        <w:pStyle w:val="Standard"/>
        <w:spacing w:after="200"/>
      </w:pPr>
      <w:r>
        <w:t xml:space="preserve">Respecto a aspectos de Salud Mental, existen algunos estudios (Speranza, 2008) que detectaron que en el año 2003 se realizaron 20.000 consultas a Psiquiatras de las cuales el 90% </w:t>
      </w:r>
      <w:r>
        <w:t>corresponden</w:t>
      </w:r>
      <w:r>
        <w:t xml:space="preserve"> a niños de más de 6 años, s</w:t>
      </w:r>
      <w:r>
        <w:t xml:space="preserve">iendo los problemas de conducta y las dificultades de aprendizajes los planteos de problemas más frecuentes. En relación al Trastorno por déficit atencional e hiperactividad (TDAH), Viola y otros, 2007 dan cuenta de que este es un problema de la infancia. </w:t>
      </w:r>
      <w:r>
        <w:t>En un estudio que llevaron adelante en la Clínica de Psiquiatría Pediátrica de la Universidad de la República (UdelaR) pudieron estimar que la prevalencia de este trastorno en Uruguay es del 4,7%.</w:t>
      </w:r>
    </w:p>
    <w:p w:rsidR="005B5CE3" w:rsidRDefault="00642485">
      <w:pPr>
        <w:pStyle w:val="Standard"/>
        <w:spacing w:after="200"/>
      </w:pPr>
      <w:r>
        <w:rPr>
          <w:i/>
        </w:rPr>
        <w:t>Discapacidad</w:t>
      </w:r>
    </w:p>
    <w:p w:rsidR="005B5CE3" w:rsidRDefault="00642485">
      <w:pPr>
        <w:pStyle w:val="Standard"/>
        <w:spacing w:after="200"/>
      </w:pPr>
      <w:r>
        <w:t>En relación a la situación de los niños y niña</w:t>
      </w:r>
      <w:r>
        <w:t>s que presentan algún tipo de discapacidad los datos muestran que el 8,2% de los varones tienen algún tipo de limitación mientras que en las mujeres representa un 7%. Dentro de las limitaciones si nos detenemos en las que son severas vemos que en los varon</w:t>
      </w:r>
      <w:r>
        <w:t>es representa un 0,36% y en las mujeres 0,28%. Si hacemos el cruce por descendencia afro vemos que la prevalencia de las limitaciones es mayor en la población afro que en la que no lo es (Reporte Social, 2015: 273).</w:t>
      </w:r>
    </w:p>
    <w:p w:rsidR="005B5CE3" w:rsidRDefault="00642485">
      <w:pPr>
        <w:pStyle w:val="Standard"/>
        <w:spacing w:after="200"/>
      </w:pPr>
      <w:r>
        <w:t>En cuanto a la asistencia a centros educ</w:t>
      </w:r>
      <w:r>
        <w:t>ativos se observa que la asistencia es menor cuanto mayor es el grado de limitación de las personas. En el tramo de 5 a 14 años se observa una diferencia importante entre las personas con limitaciones severas y el resto. Tal es así que entre quienes tienen</w:t>
      </w:r>
      <w:r>
        <w:t xml:space="preserve"> alguna discapacidad severa, uno de cada cuatro menores de 14 años no asisten a centros educativos. Si la asistencia la analizamos para el tramo de menores de </w:t>
      </w:r>
      <w:r>
        <w:lastRenderedPageBreak/>
        <w:t>14 años vemos que el 92,5% de aquellos que no tienen ninguna dificultad asisten, mientras que aqu</w:t>
      </w:r>
      <w:r>
        <w:t>ellos que tienen dificultades severas asisten tan solo el 0,2, para el caso de moderada un 1,9 y leve 5,4  (Reporte Uruguay, 2015: 274).</w:t>
      </w:r>
    </w:p>
    <w:p w:rsidR="005B5CE3" w:rsidRDefault="00642485">
      <w:pPr>
        <w:pStyle w:val="Standard"/>
        <w:spacing w:after="200"/>
      </w:pPr>
      <w:r>
        <w:rPr>
          <w:i/>
        </w:rPr>
        <w:t>Violencia</w:t>
      </w:r>
    </w:p>
    <w:p w:rsidR="005B5CE3" w:rsidRDefault="00642485">
      <w:pPr>
        <w:pStyle w:val="Standard"/>
        <w:spacing w:after="200"/>
      </w:pPr>
      <w:r>
        <w:t>En 2015 SIPIAV registró 1908 situaciones de violencia hacia niños y adolescentes. Si bien el registro no cubr</w:t>
      </w:r>
      <w:r>
        <w:t>e todas las situaciones que efectivamente se producen en Uruguay, cabe destacar que la capacidad de registro viene sostenidamente en aumento desde 2011 (SIPIAV, 2016: 30-31). Sobre estos datos, es posible analizar la situación de la infancia.</w:t>
      </w:r>
    </w:p>
    <w:p w:rsidR="005B5CE3" w:rsidRDefault="00642485">
      <w:pPr>
        <w:pStyle w:val="Standard"/>
        <w:spacing w:after="200"/>
      </w:pPr>
      <w:r>
        <w:t xml:space="preserve">De acuerdo a </w:t>
      </w:r>
      <w:r>
        <w:t>los datos de SIPIAV, un 45% de las situaciones registradas se concentran en la franja de 6 a 12 años. La sigue de lejos la franja de 13 a 17, con 30%, y tras ella la franja de 0 a 3, con 11% (SIPIAV, 2016: 34). De estos datos pueden realizarse dos lecturas</w:t>
      </w:r>
      <w:r>
        <w:t xml:space="preserve">: a) que el registro en la franja de infancia es más eficaz que en el resto, o b) que la infancia es la franja que más sufre situaciones de violencia. En cualquier caso, sugieren la necesidad de revertir esta situación. Cabe destacar que en la infancia no </w:t>
      </w:r>
      <w:r>
        <w:t>se encuentran diferencias por sexo, situación que sí se verifica en la adolescencia, donde las mujeres son más afectadas que los hombres.</w:t>
      </w:r>
    </w:p>
    <w:p w:rsidR="005B5CE3" w:rsidRDefault="00642485">
      <w:pPr>
        <w:pStyle w:val="Standard"/>
        <w:spacing w:after="200"/>
      </w:pPr>
      <w:r>
        <w:t xml:space="preserve">Ahondando en el tipo de violencia registrada, los datos muestran que en esta franja (6-12) la situación más frecuente </w:t>
      </w:r>
      <w:r>
        <w:t>es la de maltrato emocional, que roza el 50% del total. Le sigue el abuso sexual con 20%, el maltrato físico con 17% y la negligencia con 15%. Estos datos son bastante similares en comparación con la franja de 4 a 5 años, aunque no así con la de 13 a 17, e</w:t>
      </w:r>
      <w:r>
        <w:t>n donde el porcentaje de situaciones de abuso se incrementa considerablemente, hasta llegar al 32% (SIPIAV, 2016: 38).</w:t>
      </w:r>
    </w:p>
    <w:p w:rsidR="005B5CE3" w:rsidRDefault="00642485">
      <w:pPr>
        <w:pStyle w:val="Standard"/>
        <w:spacing w:after="200"/>
      </w:pPr>
      <w:r>
        <w:rPr>
          <w:i/>
        </w:rPr>
        <w:t>Trabajo infantil</w:t>
      </w:r>
    </w:p>
    <w:p w:rsidR="005B5CE3" w:rsidRDefault="00642485">
      <w:pPr>
        <w:pStyle w:val="Standard"/>
        <w:spacing w:after="200"/>
      </w:pPr>
      <w:r>
        <w:t>De acuerdo a datos del Instituto Nacional de Estadística (2010) aproximadamente 67.825 niños y adolescentes entre 5 y 17</w:t>
      </w:r>
      <w:r>
        <w:t xml:space="preserve"> años se encontraban en situación de trabajo infantil, cifra que ascendía a 91.803 cuando se consideraba el trabajo intensivo en el hogar.</w:t>
      </w:r>
    </w:p>
    <w:p w:rsidR="005B5CE3" w:rsidRDefault="00642485">
      <w:pPr>
        <w:pStyle w:val="Standard"/>
        <w:spacing w:after="200"/>
      </w:pPr>
      <w:r>
        <w:t xml:space="preserve">La Encuesta Nacional Especializada sobre Trabajo Infantil (ENTI) realizada en los años 2009 y 2010 arroja resultados </w:t>
      </w:r>
      <w:r>
        <w:t>que permiten conocer y actuar sobre esta situación de niños, niñas y adolescentes.</w:t>
      </w:r>
    </w:p>
    <w:p w:rsidR="005B5CE3" w:rsidRDefault="00642485">
      <w:pPr>
        <w:pStyle w:val="Standard"/>
        <w:spacing w:after="200"/>
      </w:pPr>
      <w:r>
        <w:lastRenderedPageBreak/>
        <w:t xml:space="preserve">El 85,3% de los niños y adolescentes (584.500 mil personas) no realiza ninguna actividad económica.  El 9,9% de los niños y adolescentes de entre 5 a 17 años del Uruguay se </w:t>
      </w:r>
      <w:r>
        <w:t>encuentra en trabajo infantil (TI) definido en la Frontera de Producción (FP). Mientras que aumenta a un 13,4% cuando es definido en la Frontera General de Producción (FGP).  De la descomposición del TI según la FP se observa que del 9,9%, un 1,4% correspo</w:t>
      </w:r>
      <w:r>
        <w:t>nde a TI de niños de entre 5 a 14 años en actividades no peligrosas; 3,2% a TI de niños de entre 5 a 14 años en actividades peligrosas y 5,3% a TI de los adolescentes de entre 15 a 17 años en actividades peligrosas.  Es de destacar que alrededor del 75% de</w:t>
      </w:r>
      <w:r>
        <w:t xml:space="preserve"> la incidencia del trabajo infantil por debajo de la edad mínima corresponde a trabajo peligroso.  El trabajo peligroso para los niños y adolescentes de Uruguay de entre 5 a 17 años asciende a 8,5%.</w:t>
      </w:r>
    </w:p>
    <w:p w:rsidR="005B5CE3" w:rsidRDefault="00642485">
      <w:pPr>
        <w:pStyle w:val="Standard"/>
        <w:spacing w:after="200"/>
      </w:pPr>
      <w:r>
        <w:t>Los varones trabajan más que las niñas y adolescentes muj</w:t>
      </w:r>
      <w:r>
        <w:t>eres (15,2% frente a un 7,7%), y los adolescentes entre 15 y 17 años más que los niños entre 5 y 14 años (29,3% frente a un 6,1%).  Dentro de los niños y adolescentes ocupados en actividades económicas, los varones tienden a ocuparse más en actividades rel</w:t>
      </w:r>
      <w:r>
        <w:t xml:space="preserve">acionadas con el sector primario y secundario de la economía, mientras que las niñas y adolescentes mujeres lo hacen mayormente en el sector servicios, y en particular, en los servicios a los hogares.  </w:t>
      </w:r>
    </w:p>
    <w:p w:rsidR="005B5CE3" w:rsidRDefault="00642485">
      <w:pPr>
        <w:pStyle w:val="Standard"/>
        <w:spacing w:after="200"/>
      </w:pPr>
      <w:r>
        <w:t>En cuanto al sistema educativo, los varones que aband</w:t>
      </w:r>
      <w:r>
        <w:t>onaron los estudios se dedican mayoritariamente a trabajar y a realizar tareas domésticas, mientras que las niñas y adolescentes mujeres se dedican a realizar sólo tareas domésticas. La principal causa del abandono es la falta de interés en el estudio, seg</w:t>
      </w:r>
      <w:r>
        <w:t>uida por las malas notas, situaciones de enfermedad o discapacidad y por tener que trabajar.   Los niños y adolescentes ocupados presentan mayores tasas promedio de repetición y ausentismo en la enseñanza que el promedio de los que se encuentran insertos e</w:t>
      </w:r>
      <w:r>
        <w:t xml:space="preserve">n el sistema educativo (CETI, 2014: 6 a </w:t>
      </w:r>
      <w:r>
        <w:t>10</w:t>
      </w:r>
      <w:r>
        <w:t>).</w:t>
      </w:r>
    </w:p>
    <w:p w:rsidR="005B5CE3" w:rsidRDefault="00642485">
      <w:pPr>
        <w:pStyle w:val="Standard"/>
        <w:spacing w:after="200" w:line="240" w:lineRule="auto"/>
      </w:pPr>
      <w:r>
        <w:rPr>
          <w:i/>
        </w:rPr>
        <w:t>Situación de calle</w:t>
      </w:r>
    </w:p>
    <w:p w:rsidR="005B5CE3" w:rsidRDefault="00642485">
      <w:pPr>
        <w:pStyle w:val="Standard"/>
        <w:spacing w:after="200"/>
      </w:pPr>
      <w:r>
        <w:t>Del total de situaciones que INAU atiende mediante su Programa Calle o en convenios en Montevideo, el 47% corresponde a este ciclo de vida (302 niños), siendo el más afectado. La mayoría de es</w:t>
      </w:r>
      <w:r>
        <w:t>tos niños se encuentra vinculado al sistema educativo, pero enfrenta diversos problemas tales como ausentismo, problemas  de desempeño y discriminación, entre otros. Asimismo, la mayoría vive con sus respectivas familias de origen, y desarrollan actividade</w:t>
      </w:r>
      <w:r>
        <w:t>s tales como mendicidad y trabajo infantil, en las que algún referente adulto se encuentra a su vez involucrado (Observatorio de Infancia y Adolescencia INAU, 2016).</w:t>
      </w:r>
    </w:p>
    <w:p w:rsidR="005B5CE3" w:rsidRDefault="00642485">
      <w:pPr>
        <w:pStyle w:val="Standard"/>
        <w:spacing w:after="200"/>
      </w:pPr>
      <w:r>
        <w:rPr>
          <w:b/>
        </w:rPr>
        <w:t>3.4. Situación de la adolescencia</w:t>
      </w:r>
    </w:p>
    <w:p w:rsidR="005B5CE3" w:rsidRDefault="00642485">
      <w:pPr>
        <w:pStyle w:val="Standard"/>
      </w:pPr>
      <w:r>
        <w:lastRenderedPageBreak/>
        <w:t xml:space="preserve">En este apartado se tomarán algunos ejes de diagnóstico </w:t>
      </w:r>
      <w:r>
        <w:t>para describir la situación de la adolescencia en nuestro país.</w:t>
      </w:r>
    </w:p>
    <w:p w:rsidR="005B5CE3" w:rsidRDefault="005B5CE3">
      <w:pPr>
        <w:pStyle w:val="Standard"/>
      </w:pPr>
    </w:p>
    <w:p w:rsidR="005B5CE3" w:rsidRDefault="00642485">
      <w:pPr>
        <w:pStyle w:val="Standard"/>
      </w:pPr>
      <w:r>
        <w:t>Este ciclo se vuelve un período muy relevante para la planificación de las políticas públicas si se tiene en cuenta que es en esta etapa en donde se procesan algunos eventos claves en la tra</w:t>
      </w:r>
      <w:r>
        <w:t>yectoria vital como son: la salida del sistema educativo, el ingreso al mercado laboral, la formación de una familia propia y del abandono del hogar de origen, entre otros. Sin embargo, estas posibilidades no necesariamente se traducen en oportunidades par</w:t>
      </w:r>
      <w:r>
        <w:t>a todos los adolescentes al estar condicionados por situaciones de pobreza, género o etnia-raza (Observatorio Social de Indicadores y Programas, 2010).</w:t>
      </w:r>
    </w:p>
    <w:p w:rsidR="005B5CE3" w:rsidRDefault="005B5CE3">
      <w:pPr>
        <w:pStyle w:val="Standard"/>
      </w:pPr>
    </w:p>
    <w:p w:rsidR="005B5CE3" w:rsidRDefault="00642485">
      <w:pPr>
        <w:pStyle w:val="Standard"/>
      </w:pPr>
      <w:r>
        <w:t>Para caracterizar algunos de estos eventos se analizan a continuación distintos indicadores de referen</w:t>
      </w:r>
      <w:r>
        <w:t>cia sobre educación, mostrando datos de cobertura y desempeño de los adolescentes uruguayos. Además, se trabajará sobre la dimensión de acceso a la salud, haciendo especial énfasis en salud sexual y reproductiva por un lado y en el consumo problemático por</w:t>
      </w:r>
      <w:r>
        <w:t xml:space="preserve"> otro. Finalmente, nos dedicaremos a tratar algunas problemáticas específicas de este ciclo de vida que refieren a situaciones de especial vulneración de derechos, como ser la explotación sexual comercial y el conflicto con la ley penal.</w:t>
      </w:r>
    </w:p>
    <w:p w:rsidR="005B5CE3" w:rsidRDefault="005B5CE3">
      <w:pPr>
        <w:pStyle w:val="Standard"/>
      </w:pPr>
    </w:p>
    <w:p w:rsidR="005B5CE3" w:rsidRDefault="00642485">
      <w:pPr>
        <w:pStyle w:val="Standard"/>
      </w:pPr>
      <w:r>
        <w:t>Según la última E</w:t>
      </w:r>
      <w:r>
        <w:t>ncuesta Nacional de Adolescencia y Juventud (ENAJ)</w:t>
      </w:r>
      <w:r>
        <w:rPr>
          <w:rStyle w:val="Refdenotaalpie"/>
        </w:rPr>
        <w:footnoteReference w:id="7"/>
      </w:r>
      <w:r>
        <w:t>, en Uruguay los adolescentes</w:t>
      </w:r>
      <w:r>
        <w:rPr>
          <w:rStyle w:val="Refdenotaalpie"/>
        </w:rPr>
        <w:footnoteReference w:id="8"/>
      </w:r>
      <w:r>
        <w:t xml:space="preserve"> representan el 9,7% de la población total del país.</w:t>
      </w:r>
    </w:p>
    <w:p w:rsidR="005B5CE3" w:rsidRDefault="005B5CE3">
      <w:pPr>
        <w:pStyle w:val="Standard"/>
      </w:pPr>
    </w:p>
    <w:p w:rsidR="005B5CE3" w:rsidRDefault="00642485">
      <w:pPr>
        <w:pStyle w:val="Standard"/>
        <w:spacing w:after="200"/>
      </w:pPr>
      <w:r>
        <w:t>El peso relativo de esta población muestra por un lado que Uruguay es un país que se sitúa en una etapa avanzada de la transición demográfica, lo cual hace esperar que esta población descienda con el pa</w:t>
      </w:r>
      <w:r>
        <w:t>so del tiempo como consecuencia del proceso de envejecimiento poblacional. Por otra parte, este dato demuestra que los adolescentes uruguayos se encuentran insertos en una sociedad cuya población tiene una gran proporción de adultos y adultos mayores (ENAJ</w:t>
      </w:r>
      <w:r>
        <w:t>, 2013).</w:t>
      </w:r>
    </w:p>
    <w:p w:rsidR="005B5CE3" w:rsidRDefault="00642485">
      <w:pPr>
        <w:pStyle w:val="Standard"/>
        <w:spacing w:after="200"/>
      </w:pPr>
      <w:r>
        <w:rPr>
          <w:i/>
        </w:rPr>
        <w:t>Educación</w:t>
      </w:r>
    </w:p>
    <w:p w:rsidR="005B5CE3" w:rsidRDefault="00642485">
      <w:pPr>
        <w:pStyle w:val="Standard"/>
      </w:pPr>
      <w:r>
        <w:lastRenderedPageBreak/>
        <w:t>Como es sabido, Uruguay se caracteriza por tener una cobertura universal para el tramo de 6 a 11 años, sin presentar variaciones significativas con el paso del tiempo. Este aspecto se ha convertido en uno de los principales logros del si</w:t>
      </w:r>
      <w:r>
        <w:t>stema educativo  uruguayo (MEC, 2014).</w:t>
      </w:r>
    </w:p>
    <w:p w:rsidR="005B5CE3" w:rsidRDefault="005B5CE3">
      <w:pPr>
        <w:pStyle w:val="Standard"/>
      </w:pPr>
    </w:p>
    <w:p w:rsidR="005B5CE3" w:rsidRDefault="00642485">
      <w:pPr>
        <w:pStyle w:val="Standard"/>
      </w:pPr>
      <w:r>
        <w:t xml:space="preserve">Sin embargo, estos datos se modifican cuando se analizan las cifras para los adolescentes en la enseñanza media básica y superior. Uruguay presenta desafíos sustantivos en educación media,  como ser, bajas tasas de </w:t>
      </w:r>
      <w:r>
        <w:t>finalización con escaso crecimiento en las últimas tres décadas y una fuerte determinación y asociación con el origen socioeconómico de los estudiantes y sus familias (INEED, 2014). Estos son uno de los principales desafíos para el país en materia de plani</w:t>
      </w:r>
      <w:r>
        <w:t>ficación de las políticas públicas en educación.</w:t>
      </w:r>
    </w:p>
    <w:p w:rsidR="005B5CE3" w:rsidRDefault="005B5CE3">
      <w:pPr>
        <w:pStyle w:val="Standard"/>
      </w:pPr>
    </w:p>
    <w:p w:rsidR="005B5CE3" w:rsidRDefault="00642485">
      <w:pPr>
        <w:pStyle w:val="Standard"/>
      </w:pPr>
      <w:r>
        <w:t>Existen diversos factores que explican la no culminación de ciclos como las estructuras y formatos curriculares, la formación docente, el vínculo entre los adolescentes y las instituciones educativas, la ge</w:t>
      </w:r>
      <w:r>
        <w:t>stión de los centros y los modos de evaluación, entre otros. Ahondar sobre ellos excede el propósito del presente apartado. Sin embargo, todos ellos deberán ser tenidos en cuenta para la planificación de políticas de educación inclusivas.</w:t>
      </w:r>
    </w:p>
    <w:p w:rsidR="005B5CE3" w:rsidRDefault="005B5CE3">
      <w:pPr>
        <w:pStyle w:val="Standard"/>
      </w:pPr>
    </w:p>
    <w:p w:rsidR="005B5CE3" w:rsidRDefault="00642485">
      <w:pPr>
        <w:pStyle w:val="Standard"/>
      </w:pPr>
      <w:r>
        <w:t>Los resultados d</w:t>
      </w:r>
      <w:r>
        <w:t xml:space="preserve">el sistema educativo formal se pueden clasificar en dos grandes tipos. Por un lado, se encuentran aquellos resultados referidos a la finalización de los niveles educativos y por otro, los que refieren a la incorporación de saberes, capacidades y actitudes </w:t>
      </w:r>
      <w:r>
        <w:t>(INEED, 2014).</w:t>
      </w:r>
    </w:p>
    <w:p w:rsidR="005B5CE3" w:rsidRDefault="005B5CE3">
      <w:pPr>
        <w:pStyle w:val="Standard"/>
      </w:pPr>
    </w:p>
    <w:p w:rsidR="005B5CE3" w:rsidRDefault="00642485">
      <w:pPr>
        <w:pStyle w:val="Standard"/>
      </w:pPr>
      <w:r>
        <w:t xml:space="preserve">En cuanto a la culminación de ciclos, para el año 2014, tal como lo indica el Informe de Logros Educativos del MEC, el 65,9% de las personas entre 17 y 18 años había culminado sus estudios de educación media básica. Según la ENAJ, para el </w:t>
      </w:r>
      <w:r>
        <w:t xml:space="preserve">año 2014, menos de la mitad -el 46,4%- de los jóvenes de 18 años y más finalizaron el nivel secundario.  </w:t>
      </w:r>
    </w:p>
    <w:p w:rsidR="005B5CE3" w:rsidRDefault="005B5CE3">
      <w:pPr>
        <w:pStyle w:val="Standard"/>
      </w:pPr>
    </w:p>
    <w:p w:rsidR="005B5CE3" w:rsidRDefault="00642485">
      <w:pPr>
        <w:pStyle w:val="Standard"/>
      </w:pPr>
      <w:r>
        <w:t>Vale destacar que los datos comparados de las Encuestas Nacionales de Adolescencia y Juventud han mostrado un incremento constante en la asistencia d</w:t>
      </w:r>
      <w:r>
        <w:t>e adolescentes y jóvenes a centros educativos.</w:t>
      </w:r>
    </w:p>
    <w:p w:rsidR="005B5CE3" w:rsidRDefault="005B5CE3">
      <w:pPr>
        <w:pStyle w:val="Standard"/>
      </w:pPr>
    </w:p>
    <w:p w:rsidR="005B5CE3" w:rsidRDefault="00642485">
      <w:pPr>
        <w:pStyle w:val="Standard"/>
      </w:pPr>
      <w:r>
        <w:t>Por otra parte los resultados sobre la repetición continúan siendo preocupantes ya que la tasa de repetición en este ciclo es del 29,6% y en educación media superior es similar, aunque levemente menor, repre</w:t>
      </w:r>
      <w:r>
        <w:t>sentando un 28,6%.</w:t>
      </w:r>
    </w:p>
    <w:p w:rsidR="005B5CE3" w:rsidRDefault="005B5CE3">
      <w:pPr>
        <w:pStyle w:val="Standard"/>
      </w:pPr>
    </w:p>
    <w:p w:rsidR="005B5CE3" w:rsidRDefault="00642485">
      <w:pPr>
        <w:pStyle w:val="Standard"/>
      </w:pPr>
      <w:r>
        <w:lastRenderedPageBreak/>
        <w:t>Respecto a las situaciones de abandono, que consiste en la proporción de estudiantes que tuvieron más de 50 inasistencias y de los que se desconoce su destino, en educación media básica si la comparamos desde el año 2006 al 2011 ha desc</w:t>
      </w:r>
      <w:r>
        <w:t>endido en 2 puntos porcentuales. A su vez podemos ver que entre 2011 y 2012, los egresados de educación media general se incrementaron en un 3 %: pasando de 8132 en 2011, a 8373 jóvenes en 2012 (241 egresados más).</w:t>
      </w:r>
    </w:p>
    <w:p w:rsidR="005B5CE3" w:rsidRDefault="005B5CE3">
      <w:pPr>
        <w:pStyle w:val="Standard"/>
      </w:pPr>
    </w:p>
    <w:p w:rsidR="005B5CE3" w:rsidRDefault="00642485">
      <w:pPr>
        <w:pStyle w:val="Standard"/>
      </w:pPr>
      <w:r>
        <w:t>Al tomar la población por quintiles enco</w:t>
      </w:r>
      <w:r>
        <w:t xml:space="preserve">ntramos que fenómenos tales como las inasistencias, la repetición, la extra edad se concentran en el primer quintil. Como resultado de estas trayectorias, la culminación de la Educación Media Superior es mayor en la población con mayores ingresos. (INEED: </w:t>
      </w:r>
      <w:r>
        <w:t>104 a 115). Lo mismo sucede con los resultados de las pruebas PISA, el índice de contexto socioeconómico y cultural de los estudiantes que elabora PISA es construido a partir de tres dimensiones relacionadas con sus familias: educación y ocupación de los p</w:t>
      </w:r>
      <w:r>
        <w:t>adres y disposición de ciertos bienes en el hogar. Si estos datos se cruzan por entorno socioeconómico y cultural de los centros educativos vemos que los centros ubicados en un entorno muy favorable son aquellos que en promedio reúnen a los estudiantes cuy</w:t>
      </w:r>
      <w:r>
        <w:t>os padres tienen los mejores niveles educativos, de ocupación y bienestar económico. En el otro extremo la situación es la contraria (INEED, 2014: 7).</w:t>
      </w:r>
    </w:p>
    <w:p w:rsidR="005B5CE3" w:rsidRDefault="005B5CE3">
      <w:pPr>
        <w:pStyle w:val="Standard"/>
      </w:pPr>
    </w:p>
    <w:p w:rsidR="005B5CE3" w:rsidRDefault="00642485">
      <w:pPr>
        <w:pStyle w:val="Standard"/>
        <w:spacing w:after="200"/>
      </w:pPr>
      <w:r>
        <w:t xml:space="preserve">El Instituto Nacional de Evaluación Educativa (INEED) en su </w:t>
      </w:r>
      <w:r>
        <w:rPr>
          <w:i/>
        </w:rPr>
        <w:t xml:space="preserve">Informe sobre el estado de la educación en </w:t>
      </w:r>
      <w:r>
        <w:rPr>
          <w:i/>
        </w:rPr>
        <w:t>Uruguay</w:t>
      </w:r>
      <w:r>
        <w:t xml:space="preserve"> ha colocado a la educación media como uno de los grandes desafíos de la próxima década. La posibilidad de repensar su estructura, su relevancia y sus sentidos requiere de esfuerzos institucionales y  de voluntad política.</w:t>
      </w:r>
    </w:p>
    <w:p w:rsidR="005B5CE3" w:rsidRDefault="00642485">
      <w:pPr>
        <w:pStyle w:val="Standard"/>
        <w:spacing w:after="200"/>
      </w:pPr>
      <w:r>
        <w:rPr>
          <w:i/>
        </w:rPr>
        <w:t>Salud sexual y reproducti</w:t>
      </w:r>
      <w:r>
        <w:rPr>
          <w:i/>
        </w:rPr>
        <w:t>va</w:t>
      </w:r>
    </w:p>
    <w:p w:rsidR="005B5CE3" w:rsidRDefault="00642485">
      <w:pPr>
        <w:pStyle w:val="Standard"/>
      </w:pPr>
      <w:r>
        <w:t>El reconocimiento de los derechos sexuales y reproductivos en tanto derecho humano fundamental refiere a la toma de decisión informada y responsable de cada individuo sobre su sexualidad y vida reproductiva. A su vez, se encuentra estrechamente relacion</w:t>
      </w:r>
      <w:r>
        <w:t>ado con la disponibilidad de recursos para poder llevar a la práctica dichas decisiones de manera segura, efectiva y sin discriminaciones (Correa y Petchesky, 1995 en López 2005).</w:t>
      </w:r>
    </w:p>
    <w:p w:rsidR="005B5CE3" w:rsidRDefault="005B5CE3">
      <w:pPr>
        <w:pStyle w:val="Standard"/>
      </w:pPr>
    </w:p>
    <w:p w:rsidR="005B5CE3" w:rsidRDefault="00642485">
      <w:pPr>
        <w:pStyle w:val="Standard"/>
        <w:spacing w:after="200"/>
      </w:pPr>
      <w:r>
        <w:t xml:space="preserve">Según el Observatorio Nacional en género y salud sexual y reproductiva, en </w:t>
      </w:r>
      <w:r>
        <w:t>Uruguay, la edad promedio de inicio de la vida sexual es de 15 años (MYSU, 2014; MYSU, 2013). Esta media varía significativamente según factores como el nivel socioeconómico, el nivel educativo y la asistencia a los servicios de salud. Estas variaciones se</w:t>
      </w:r>
      <w:r>
        <w:t xml:space="preserve"> dan particularmente en las mujeres, </w:t>
      </w:r>
      <w:r>
        <w:lastRenderedPageBreak/>
        <w:t>siendo aquellas con menor nivel educativo quienes inician más tempranamente su vida sexual. Los varones por su parte, presentan un patrón de inicio de la vida sexual más homogéneo (MYSU, 2015; MYSU, 2013).</w:t>
      </w:r>
    </w:p>
    <w:p w:rsidR="005B5CE3" w:rsidRDefault="00642485">
      <w:pPr>
        <w:pStyle w:val="Standard"/>
      </w:pPr>
      <w:r>
        <w:t xml:space="preserve">El embarazo, </w:t>
      </w:r>
      <w:r>
        <w:t>la maternidad y paternidad durante la adolescencia representa una situación social y de salud de relevancia a nivel país. En Uruguay, como en otras partes del mundo, el embarazo en la adolescencia se encuentra determinado por las desigualdades socioeconómi</w:t>
      </w:r>
      <w:r>
        <w:t>cas, culturales y de género. También están asociados a desigualdades en la capacidad de elección debido a falta de oportunidades de proyectos alternativos (UNFPA, 2013).</w:t>
      </w:r>
    </w:p>
    <w:p w:rsidR="005B5CE3" w:rsidRDefault="005B5CE3">
      <w:pPr>
        <w:pStyle w:val="Standard"/>
      </w:pPr>
    </w:p>
    <w:p w:rsidR="005B5CE3" w:rsidRDefault="00642485">
      <w:pPr>
        <w:pStyle w:val="Standard"/>
      </w:pPr>
      <w:r>
        <w:t xml:space="preserve">Según los datos estadísticos reportados por el MSP se observa que desde el año 1996 </w:t>
      </w:r>
      <w:r>
        <w:t>hasta la fecha, el porcentaje de mujeres adolescentes embarazadas se ha mantenido estable en torno al 16%. Esto equivale a 7.951 nacimientos anuales de madres comprendidas entre los 10 y los 19 años de edad. Esta situación es visualizada como una preocupac</w:t>
      </w:r>
      <w:r>
        <w:t>ión dado que dicha estabilidad se da en un contexto de fuerte caída de la tasa de fecundidad en el resto de los tramos etarios.</w:t>
      </w:r>
    </w:p>
    <w:p w:rsidR="005B5CE3" w:rsidRDefault="005B5CE3">
      <w:pPr>
        <w:pStyle w:val="Standard"/>
      </w:pPr>
    </w:p>
    <w:p w:rsidR="005B5CE3" w:rsidRDefault="00642485">
      <w:pPr>
        <w:pStyle w:val="Standard"/>
      </w:pPr>
      <w:r>
        <w:t>El inicio de la reproducción en la adolescencia introduce a las mujeres de manera anticipada y a veces precaria, a la vida adul</w:t>
      </w:r>
      <w:r>
        <w:t xml:space="preserve">ta. Esto produce diversas dificultades en el desarrollo de los proyectos de vida y en la posibilidad de insertarse de forma adecuada y sólida en la vida adulta (Varela y Fostik, </w:t>
      </w:r>
      <w:r>
        <w:rPr>
          <w:color w:val="9900FF"/>
        </w:rPr>
        <w:t>AÑO</w:t>
      </w:r>
      <w:r>
        <w:t>).</w:t>
      </w:r>
    </w:p>
    <w:p w:rsidR="005B5CE3" w:rsidRDefault="005B5CE3">
      <w:pPr>
        <w:pStyle w:val="Standard"/>
      </w:pPr>
    </w:p>
    <w:p w:rsidR="005B5CE3" w:rsidRDefault="00642485">
      <w:pPr>
        <w:pStyle w:val="Standard"/>
      </w:pPr>
      <w:r>
        <w:t>Es responsabilidad del Estado garantizar el pleno ejercicio de los der</w:t>
      </w:r>
      <w:r>
        <w:t>echos sexuales y reproductivos para que todas las y los adolescentes tengan la oportunidad de decidir sobre cuándo y cuántos hijos tener.</w:t>
      </w:r>
    </w:p>
    <w:p w:rsidR="005B5CE3" w:rsidRDefault="005B5CE3">
      <w:pPr>
        <w:pStyle w:val="Standard"/>
      </w:pPr>
    </w:p>
    <w:p w:rsidR="005B5CE3" w:rsidRDefault="00642485">
      <w:pPr>
        <w:pStyle w:val="Standard"/>
      </w:pPr>
      <w:r>
        <w:rPr>
          <w:i/>
        </w:rPr>
        <w:t>Consumo problemático de sustancias psicoactivas.</w:t>
      </w:r>
    </w:p>
    <w:p w:rsidR="005B5CE3" w:rsidRDefault="005B5CE3">
      <w:pPr>
        <w:pStyle w:val="Standard"/>
      </w:pPr>
    </w:p>
    <w:p w:rsidR="005B5CE3" w:rsidRDefault="00642485">
      <w:pPr>
        <w:pStyle w:val="Standard"/>
      </w:pPr>
      <w:r>
        <w:t>El consumo de drogas constituye en la actualidad un fenómeno global</w:t>
      </w:r>
      <w:r>
        <w:t xml:space="preserve"> cuya comprensión implica la adopción de un modelo multidimensional que pueda dar cuenta de la compleja interacción entre variables biológicas, psicológicas y sociales.</w:t>
      </w:r>
    </w:p>
    <w:p w:rsidR="005B5CE3" w:rsidRDefault="005B5CE3">
      <w:pPr>
        <w:pStyle w:val="Standard"/>
      </w:pPr>
    </w:p>
    <w:p w:rsidR="005B5CE3" w:rsidRDefault="00642485">
      <w:pPr>
        <w:pStyle w:val="Standard"/>
      </w:pPr>
      <w:r>
        <w:t xml:space="preserve">En nuestro país las drogas de mayor consumo y dependencia son el alcohol, el tabaco y </w:t>
      </w:r>
      <w:r>
        <w:t>los psicofármacos (Cuarta Encuesta Nacional sobre Consumo de Drogas en Hogares, 2007).</w:t>
      </w:r>
    </w:p>
    <w:p w:rsidR="005B5CE3" w:rsidRDefault="005B5CE3">
      <w:pPr>
        <w:pStyle w:val="Standard"/>
      </w:pPr>
    </w:p>
    <w:p w:rsidR="005B5CE3" w:rsidRDefault="00642485">
      <w:pPr>
        <w:pStyle w:val="Standard"/>
      </w:pPr>
      <w:r>
        <w:t>El alcohol es la droga más consumida y que posee un importante nivel de legitimidad social y una baja percepción del riesgo, lo cual complejiza su abordaje. Esto, sumad</w:t>
      </w:r>
      <w:r>
        <w:t>o al alto nivel de desregulación a nivel del mercado, coloca al consumo de alcohol como una problemática multicausal que debe ser abordada en conjunto por los diversos actores.</w:t>
      </w:r>
    </w:p>
    <w:p w:rsidR="005B5CE3" w:rsidRDefault="005B5CE3">
      <w:pPr>
        <w:pStyle w:val="Standard"/>
      </w:pPr>
    </w:p>
    <w:p w:rsidR="005B5CE3" w:rsidRDefault="00642485">
      <w:pPr>
        <w:pStyle w:val="Standard"/>
      </w:pPr>
      <w:r>
        <w:t>El promedio de edad de inicio de consumo de alcohol es de 16,61 años. Sin emba</w:t>
      </w:r>
      <w:r>
        <w:t>rgo, la edad más frecuente de inicio es a los 15 años. Se observan en la actualidad diferencias significativas por género, siendo los hombres quienes inician el consumo antes. Esta brecha tiende a ser cada vez menor para las generaciones más jóvenes (Cuart</w:t>
      </w:r>
      <w:r>
        <w:t>a Encuesta Nacional sobre Consumo de Drogas en Hogares, 2007).</w:t>
      </w:r>
    </w:p>
    <w:p w:rsidR="005B5CE3" w:rsidRDefault="005B5CE3">
      <w:pPr>
        <w:pStyle w:val="Standard"/>
      </w:pPr>
    </w:p>
    <w:p w:rsidR="005B5CE3" w:rsidRDefault="00642485">
      <w:pPr>
        <w:pStyle w:val="Standard"/>
      </w:pPr>
      <w:r>
        <w:t xml:space="preserve">En relación al consumo de tabaco, la última ENAJ muestra que 1 de cada 10 adolescentes entre 15 y 19 años declara consumir a diario cigarros. Estas cifras confirman la necesidad de diseñar e </w:t>
      </w:r>
      <w:r>
        <w:t>implementar una política integral e intersectorial para el abordaje del consumo de ambas drogas en adolescentes y de las distintas problemática asociadas a ello.</w:t>
      </w:r>
    </w:p>
    <w:p w:rsidR="005B5CE3" w:rsidRDefault="005B5CE3">
      <w:pPr>
        <w:pStyle w:val="Standard"/>
      </w:pPr>
    </w:p>
    <w:p w:rsidR="005B5CE3" w:rsidRDefault="00642485">
      <w:pPr>
        <w:pStyle w:val="Standard"/>
      </w:pPr>
      <w:r>
        <w:t xml:space="preserve">Respecto al consumo de marihuana, Uruguay ha iniciado un proceso de regulación y control del </w:t>
      </w:r>
      <w:r>
        <w:t>mercado de marihuana a través de la Ley 19172. En este sentido, el país avanza hacia la protección y promoción de la salud de la población a partir de una política orientada a minimizar los riesgos y reducir los daños del uso del cannabis.</w:t>
      </w:r>
    </w:p>
    <w:p w:rsidR="005B5CE3" w:rsidRDefault="005B5CE3">
      <w:pPr>
        <w:pStyle w:val="Standard"/>
      </w:pPr>
    </w:p>
    <w:p w:rsidR="005B5CE3" w:rsidRDefault="00642485">
      <w:pPr>
        <w:pStyle w:val="Standard"/>
      </w:pPr>
      <w:r>
        <w:t>El desafío par</w:t>
      </w:r>
      <w:r>
        <w:t>a las políticas públicas, especialmente para las instituciones educativas y de salud hace énfasis en la promoción de información, educación y prevención sobre las consecuencias y efectos perjudiciales vinculados a dicho consumo.</w:t>
      </w:r>
    </w:p>
    <w:p w:rsidR="005B5CE3" w:rsidRDefault="005B5CE3">
      <w:pPr>
        <w:pStyle w:val="Standard"/>
      </w:pPr>
      <w:bookmarkStart w:id="1" w:name="h.gjdgxs"/>
      <w:bookmarkEnd w:id="1"/>
    </w:p>
    <w:p w:rsidR="005B5CE3" w:rsidRDefault="00642485">
      <w:pPr>
        <w:pStyle w:val="Standard"/>
        <w:spacing w:after="200"/>
      </w:pPr>
      <w:r>
        <w:rPr>
          <w:i/>
        </w:rPr>
        <w:t>Violencia</w:t>
      </w:r>
    </w:p>
    <w:p w:rsidR="005B5CE3" w:rsidRDefault="00642485">
      <w:pPr>
        <w:pStyle w:val="Standard"/>
        <w:spacing w:after="200"/>
      </w:pPr>
      <w:r>
        <w:t>Como se mencion</w:t>
      </w:r>
      <w:r>
        <w:t>ó anteriormente, en el registro de situaciones de violencia de SIPIAV un 30% de los casos corresponde a este ciclo de vida. Es decir que el peso de esta franja es menor que el de la infancia, pero mayor que el de la primera infancia. Asimismo, los datos mu</w:t>
      </w:r>
      <w:r>
        <w:t>estran que a diferencia de los otros ciclos, en este caso sí se visualiza una “feminización” de la violencia, pues casi el 70%  del total de las víctimas fueron mujeres (SIPIAV, 2016: 34).</w:t>
      </w:r>
    </w:p>
    <w:p w:rsidR="005B5CE3" w:rsidRDefault="00642485">
      <w:pPr>
        <w:pStyle w:val="Standard"/>
      </w:pPr>
      <w:r>
        <w:t>Por otra parte, cabe destacar que los tipos de violencias ejercidos</w:t>
      </w:r>
      <w:r>
        <w:t xml:space="preserve"> sobre esta franja presentan características distintivas. Específicamente, la prevalencia del abuso sexual, que </w:t>
      </w:r>
      <w:r>
        <w:lastRenderedPageBreak/>
        <w:t>significa el 32% de los casos, es significativamente mayor que el 21% que representa para el total de la infancia y la adolescencia. El maltrato</w:t>
      </w:r>
      <w:r>
        <w:t xml:space="preserve"> físico, en cambio, no presenta diferencias con el promedio. Mientras que el peso de la negligencia y del maltrato emocional es menor comparado con el promedio. No obstante, el maltrato emocional se mantiene como el tipo de violencia más frecuente, alcanza</w:t>
      </w:r>
      <w:r>
        <w:t>ndo al 41% de los casos. En definitiva, los datos muestran la necesidad de combinar estrategias generales y específicas para el abordaje de este problema en la adolescencia.</w:t>
      </w:r>
    </w:p>
    <w:p w:rsidR="005B5CE3" w:rsidRDefault="005B5CE3">
      <w:pPr>
        <w:pStyle w:val="Standard"/>
      </w:pPr>
    </w:p>
    <w:p w:rsidR="005B5CE3" w:rsidRDefault="00642485">
      <w:pPr>
        <w:pStyle w:val="Standard"/>
      </w:pPr>
      <w:r>
        <w:rPr>
          <w:i/>
        </w:rPr>
        <w:t>Explotación sexual comercial</w:t>
      </w:r>
    </w:p>
    <w:p w:rsidR="005B5CE3" w:rsidRDefault="00642485">
      <w:pPr>
        <w:pStyle w:val="Standard"/>
        <w:spacing w:before="200" w:after="200" w:line="240" w:lineRule="auto"/>
      </w:pPr>
      <w:r>
        <w:t xml:space="preserve">No existen en Uruguay datos precisos sobre los </w:t>
      </w:r>
      <w:r>
        <w:t>casos de explotación sexual comercial. Aunque existe una tipificación adecuada en la ley, en la práctica en el sistema policial no se discrimina adecuadamente; mientras que en el de protección en la Línea Azul (teléfono de denuncias de INAU), no se sistema</w:t>
      </w:r>
      <w:r>
        <w:t>tiza ni se cuantifica de manera fiable. Esta falta de información no permite dimensionar correctamente el problema ni sus particularidades (CONAPEES, 2015: 21).</w:t>
      </w:r>
    </w:p>
    <w:p w:rsidR="005B5CE3" w:rsidRDefault="00642485">
      <w:pPr>
        <w:pStyle w:val="Standard"/>
        <w:spacing w:before="200" w:line="240" w:lineRule="auto"/>
      </w:pPr>
      <w:r>
        <w:t xml:space="preserve">Una aproximación parcial viene dada por los datos sistematizados por el Programa de Atención a </w:t>
      </w:r>
      <w:r>
        <w:t>Situaciones de Trata y/o Explotación Sexual Comercial de INAU. En 2015, dicho programa atendió un total de 282 caso, de las cuales 259 víctimas fueron mujeres, 20 varones y 3 personas trans. Si bien existen casos que se ubican en la franja de infancia, más</w:t>
      </w:r>
      <w:r>
        <w:t xml:space="preserve"> del 80% se concentran en la adolescencia, mostrando que es un problema particularmente acuciante en este ciclo de vida.</w:t>
      </w:r>
    </w:p>
    <w:p w:rsidR="005B5CE3" w:rsidRDefault="00642485">
      <w:pPr>
        <w:pStyle w:val="Standard"/>
        <w:spacing w:before="200" w:line="240" w:lineRule="auto"/>
      </w:pPr>
      <w:r>
        <w:rPr>
          <w:i/>
        </w:rPr>
        <w:t>Situación de calle</w:t>
      </w:r>
    </w:p>
    <w:p w:rsidR="005B5CE3" w:rsidRDefault="00642485">
      <w:pPr>
        <w:pStyle w:val="Standard"/>
        <w:spacing w:before="200"/>
      </w:pPr>
      <w:r>
        <w:t xml:space="preserve">La proporción de adolescentes ingresados al Programa Calle o a programas en convenio de INAU en Montevideo es menor </w:t>
      </w:r>
      <w:r>
        <w:t>que la de niños. En este caso, la franja representa un 31% del total (199 adolescentes). No obstante, en general estos casos son los que presentan mayor riesgo y vulnerabilidad. Analíticamente se dividen en dos grandes grupos: el primero se compone de adol</w:t>
      </w:r>
      <w:r>
        <w:t>escentes que residen de manera relativamente estable con sus familias, aunque no cuentan con redes comunitarias y sociales de apoyo. Se encuentran desvinculados del sistema educativo, y transitan buena parte del tiempo en situación de calle “por el barrio”</w:t>
      </w:r>
      <w:r>
        <w:t xml:space="preserve"> (Observatorio de Infancia y Adolescencia INAU, 2016).</w:t>
      </w:r>
    </w:p>
    <w:p w:rsidR="005B5CE3" w:rsidRDefault="00642485">
      <w:pPr>
        <w:pStyle w:val="Standard"/>
        <w:spacing w:before="200"/>
      </w:pPr>
      <w:r>
        <w:lastRenderedPageBreak/>
        <w:t>Mientras que el segundo grupo se agrupa bajo la categoría de “calle extrema”</w:t>
      </w:r>
      <w:r>
        <w:rPr>
          <w:rStyle w:val="Refdenotaalpie"/>
        </w:rPr>
        <w:footnoteReference w:id="9"/>
      </w:r>
      <w:r>
        <w:t>. En estos casos problemáticas como la violencia, la explotación sexual comercial, el consumo problemático de sustancias  y las actividades en conflicto con la ley aparecen con mayor frecuencia, y los adolescentes o se encuentran vinculados</w:t>
      </w:r>
      <w:r>
        <w:t xml:space="preserve"> a familias con las mismas problemáticas o bien no cuentan con vinculación familiar alguna (Observatorio de Infancia y Adolescencia INAU, 2016).</w:t>
      </w:r>
    </w:p>
    <w:p w:rsidR="005B5CE3" w:rsidRDefault="005B5CE3">
      <w:pPr>
        <w:pStyle w:val="Standard"/>
      </w:pPr>
    </w:p>
    <w:p w:rsidR="005B5CE3" w:rsidRDefault="005B5CE3">
      <w:pPr>
        <w:pStyle w:val="Standard"/>
      </w:pPr>
    </w:p>
    <w:p w:rsidR="005B5CE3" w:rsidRDefault="00642485">
      <w:pPr>
        <w:pStyle w:val="Standard"/>
      </w:pPr>
      <w:r>
        <w:rPr>
          <w:b/>
        </w:rPr>
        <w:t>3.5. Las respuestas existentes: situación de las políticas de primera infancia, infancia y adolescencia</w:t>
      </w:r>
    </w:p>
    <w:p w:rsidR="005B5CE3" w:rsidRDefault="005B5CE3">
      <w:pPr>
        <w:pStyle w:val="Standard"/>
      </w:pPr>
    </w:p>
    <w:p w:rsidR="005B5CE3" w:rsidRDefault="00642485">
      <w:pPr>
        <w:pStyle w:val="Standard"/>
        <w:numPr>
          <w:ilvl w:val="0"/>
          <w:numId w:val="14"/>
        </w:numPr>
        <w:spacing w:after="200"/>
        <w:ind w:left="720" w:hanging="360"/>
      </w:pPr>
      <w:r>
        <w:rPr>
          <w:b/>
        </w:rPr>
        <w:t>Gast</w:t>
      </w:r>
      <w:r>
        <w:rPr>
          <w:b/>
        </w:rPr>
        <w:t>o público social en primera infancia, infancia y adolescencia</w:t>
      </w:r>
    </w:p>
    <w:p w:rsidR="005B5CE3" w:rsidRDefault="00642485">
      <w:pPr>
        <w:pStyle w:val="Standard"/>
        <w:spacing w:after="200"/>
      </w:pPr>
      <w:r>
        <w:t>El gasto público social (GPS) refiere al esfuerzo fiscal del Estado en actividades que buscan la disminución de la pobreza y la redistribución del ingreso; la formación, expansión o renovación d</w:t>
      </w:r>
      <w:r>
        <w:t>e capacidades humanas; el cumplimiento, respeto, protección y promoción de los derechos de la ciudadanía. Se define operativamente como el “conjunto de erogaciones que insumen las acciones emprendidas por agencias del sector público en materia social, y qu</w:t>
      </w:r>
      <w:r>
        <w:t>e se financian a través de la tributación o del endeudamiento del Estado, más allá de quién sea el proveedor efectivo” (MIDES, 2014b). Involucra básicamente a las áreas de educación, salud, seguridad social, asistencia social y vivienda.</w:t>
      </w:r>
    </w:p>
    <w:p w:rsidR="005B5CE3" w:rsidRDefault="00642485">
      <w:pPr>
        <w:pStyle w:val="Standard"/>
        <w:spacing w:after="200"/>
      </w:pPr>
      <w:r>
        <w:t>Uruguay se ha dest</w:t>
      </w:r>
      <w:r>
        <w:t>acado históricamente por tener un GPS elevado en el contexto regional, producto de la construcción de una matriz de protección social temprana, que encuentra sus orígenes a principios del siglo XX.  En los últimos años, el GPS ha experimentado fuertes asce</w:t>
      </w:r>
      <w:r>
        <w:t>nsos, ya sea en términos constantes o de participación en el PIB y en el gasto público total. Específicamente, entre 2004 y 2012 e</w:t>
      </w:r>
      <w:r>
        <w:rPr>
          <w:shd w:val="clear" w:color="auto" w:fill="FFFFFF"/>
        </w:rPr>
        <w:t>l aumento del GPS fue, en términos constantes, de 91%, lo que significa un crecimiento anual promedio de 8.4%.</w:t>
      </w:r>
      <w:r>
        <w:t xml:space="preserve"> Asimismo, en es</w:t>
      </w:r>
      <w:r>
        <w:t xml:space="preserve">te período creció un 41% más que el PIB y un 35% que el gasto público total. En 2012, el GPS </w:t>
      </w:r>
      <w:r>
        <w:lastRenderedPageBreak/>
        <w:t>representó el 25,2% del PIB y el 75, 4% del gasto público total, mostrando que representa una fuerte prioridad para el país.</w:t>
      </w:r>
    </w:p>
    <w:p w:rsidR="005B5CE3" w:rsidRDefault="00642485">
      <w:pPr>
        <w:pStyle w:val="Standard"/>
        <w:spacing w:after="200"/>
      </w:pPr>
      <w:r>
        <w:t>Tradicionalmente, una proporción signi</w:t>
      </w:r>
      <w:r>
        <w:t>ficativa del GPS se destinaba a la seguridad social.  Sin embargo, la reforma de la salud  de 2008 y el aumento del gasto en educación han llevado a que estos sectores aumenten su peso relativo en la estructura del gasto, tal como muestra el gráfico 1.</w:t>
      </w:r>
    </w:p>
    <w:p w:rsidR="005B5CE3" w:rsidRDefault="00642485">
      <w:pPr>
        <w:pStyle w:val="Standard"/>
        <w:spacing w:after="200"/>
      </w:pPr>
      <w:r>
        <w:rPr>
          <w:b/>
        </w:rPr>
        <w:t>Gráfico 1.</w:t>
      </w:r>
    </w:p>
    <w:p w:rsidR="005B5CE3" w:rsidRDefault="00642485">
      <w:pPr>
        <w:pStyle w:val="Standard"/>
        <w:spacing w:after="200"/>
      </w:pPr>
      <w:r>
        <w:rPr>
          <w:noProof/>
          <w:lang w:val="es-ES" w:eastAsia="es-ES" w:bidi="ar-SA"/>
        </w:rPr>
        <w:drawing>
          <wp:inline distT="0" distB="0" distL="0" distR="0">
            <wp:extent cx="5477039" cy="2347560"/>
            <wp:effectExtent l="0" t="0" r="9361" b="0"/>
            <wp:docPr id="6" name="Imagen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5477039" cy="2347560"/>
                    </a:xfrm>
                    <a:prstGeom prst="rect">
                      <a:avLst/>
                    </a:prstGeom>
                    <a:ln>
                      <a:noFill/>
                      <a:prstDash/>
                    </a:ln>
                  </pic:spPr>
                </pic:pic>
              </a:graphicData>
            </a:graphic>
          </wp:inline>
        </w:drawing>
      </w:r>
      <w:r>
        <w:rPr>
          <w:sz w:val="20"/>
          <w:szCs w:val="20"/>
        </w:rPr>
        <w:t>Fuente: MIDES (2014b)</w:t>
      </w:r>
    </w:p>
    <w:p w:rsidR="005B5CE3" w:rsidRDefault="00642485">
      <w:pPr>
        <w:pStyle w:val="Standard"/>
        <w:spacing w:after="200"/>
      </w:pPr>
      <w:r>
        <w:t>El incremento del GPS se ha enfocado principalmente en la primera infancia, infancia y adolescencia. Como muestra el gráfico 2, el mayor crecimiento acumulado entre 2006 y 2012 ocurrió en la franja de 0 a 5 años, que alcan</w:t>
      </w:r>
      <w:r>
        <w:t>za al 107,7%.  En segundo lugar, aparece la franja de 15 a 29 años, con 74,7%, que abarca a parte de la adolescencia y a la juventud. Y en tercer lugar, le sigue la franja de 6 a 14, con un incremento de 58,4%.</w:t>
      </w:r>
    </w:p>
    <w:p w:rsidR="005B5CE3" w:rsidRDefault="00642485">
      <w:pPr>
        <w:pStyle w:val="Standard"/>
        <w:spacing w:after="200"/>
      </w:pPr>
      <w:r>
        <w:rPr>
          <w:b/>
        </w:rPr>
        <w:t>Gráfico 2. Crecimiento acumulado del GPS entr</w:t>
      </w:r>
      <w:r>
        <w:rPr>
          <w:b/>
        </w:rPr>
        <w:t>e 2006 y 2012 por franjas de edad, en %</w:t>
      </w:r>
    </w:p>
    <w:p w:rsidR="005B5CE3" w:rsidRDefault="00642485">
      <w:pPr>
        <w:pStyle w:val="Standard"/>
        <w:spacing w:after="200"/>
      </w:pPr>
      <w:r>
        <w:rPr>
          <w:noProof/>
          <w:lang w:val="es-ES" w:eastAsia="es-ES" w:bidi="ar-SA"/>
        </w:rPr>
        <w:lastRenderedPageBreak/>
        <w:drawing>
          <wp:inline distT="0" distB="0" distL="0" distR="0">
            <wp:extent cx="5238720" cy="2009880"/>
            <wp:effectExtent l="0" t="0" r="30" b="9420"/>
            <wp:docPr id="7" name="Imagen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5238720" cy="2009880"/>
                    </a:xfrm>
                    <a:prstGeom prst="rect">
                      <a:avLst/>
                    </a:prstGeom>
                    <a:ln>
                      <a:noFill/>
                      <a:prstDash/>
                    </a:ln>
                  </pic:spPr>
                </pic:pic>
              </a:graphicData>
            </a:graphic>
          </wp:inline>
        </w:drawing>
      </w:r>
      <w:r>
        <w:rPr>
          <w:sz w:val="20"/>
          <w:szCs w:val="20"/>
        </w:rPr>
        <w:t>Fuente: elaboración propia en base a MIDES (2014b)</w:t>
      </w:r>
    </w:p>
    <w:p w:rsidR="005B5CE3" w:rsidRDefault="00642485">
      <w:pPr>
        <w:pStyle w:val="Standard"/>
        <w:spacing w:after="200"/>
      </w:pPr>
      <w:r>
        <w:t>Además, al considerar la estructura etaria del GPS, se observa que el mismo se encuentra fuertemente concentrado en los niños y adolescentes, en conjunto con los ad</w:t>
      </w:r>
      <w:r>
        <w:t>ultos mayores (Grupo Interinstitucional De primera y para siempre 2015: 13). La franja de 4 a 12 años es la capta una proporción mayor del gasto, aunque en 2013 su participación se redujo 0,3% en comparación con 2006, como se observa en el gráfico 3.  La f</w:t>
      </w:r>
      <w:r>
        <w:t>ranja de 0 a 3, aunque cuenta con la menor participación (4,9%), es la que observa un mayor incremento en el período 2006-2013, de 1,7%. En tanto que la franja de 13 a 17 años capta el 7,3% del total del GPS en 2013, mostrando un incremento de 0,8% con res</w:t>
      </w:r>
      <w:r>
        <w:t xml:space="preserve">pecto a 2006. Sumados, los tres ciclos de vida representan el 23,3% del total del GPS en 2013, lo que supone un incremento de algo más de 2 puntos en relación con 2006. En síntesis, los datos muestran que desde el GSP se realiza un importante esfuerzo por </w:t>
      </w:r>
      <w:r>
        <w:t>reducir las brechas de bienestar presentes en estos ciclos.</w:t>
      </w:r>
    </w:p>
    <w:p w:rsidR="005B5CE3" w:rsidRDefault="00642485">
      <w:pPr>
        <w:pStyle w:val="Standard"/>
        <w:spacing w:after="200"/>
      </w:pPr>
      <w:r>
        <w:rPr>
          <w:b/>
        </w:rPr>
        <w:t>Gráfico 3. Distribución del GPS según tramos de edad, en 2006 y 2013.</w:t>
      </w:r>
    </w:p>
    <w:p w:rsidR="005B5CE3" w:rsidRDefault="00642485">
      <w:pPr>
        <w:pStyle w:val="Standard"/>
        <w:spacing w:after="200"/>
      </w:pPr>
      <w:r>
        <w:rPr>
          <w:noProof/>
          <w:lang w:val="es-ES" w:eastAsia="es-ES" w:bidi="ar-SA"/>
        </w:rPr>
        <w:drawing>
          <wp:inline distT="0" distB="0" distL="0" distR="0">
            <wp:extent cx="3419640" cy="1933560"/>
            <wp:effectExtent l="0" t="0" r="9360" b="0"/>
            <wp:docPr id="8" name="Imagen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3419640" cy="1933560"/>
                    </a:xfrm>
                    <a:prstGeom prst="rect">
                      <a:avLst/>
                    </a:prstGeom>
                    <a:ln>
                      <a:noFill/>
                      <a:prstDash/>
                    </a:ln>
                  </pic:spPr>
                </pic:pic>
              </a:graphicData>
            </a:graphic>
          </wp:inline>
        </w:drawing>
      </w:r>
    </w:p>
    <w:p w:rsidR="005B5CE3" w:rsidRDefault="00642485">
      <w:pPr>
        <w:pStyle w:val="Standard"/>
        <w:spacing w:after="200"/>
      </w:pPr>
      <w:r>
        <w:rPr>
          <w:sz w:val="20"/>
          <w:szCs w:val="20"/>
        </w:rPr>
        <w:lastRenderedPageBreak/>
        <w:t>Fuente: DINEM-MIDES</w:t>
      </w:r>
    </w:p>
    <w:p w:rsidR="005B5CE3" w:rsidRDefault="00642485">
      <w:pPr>
        <w:pStyle w:val="Standard"/>
        <w:spacing w:after="200"/>
      </w:pPr>
      <w:r>
        <w:t>Tal como lo marcan las autoras Giacometti y Pautassi, a pesar del aumento en el gasto público social y d</w:t>
      </w:r>
      <w:r>
        <w:t>el proceso de crecimiento económico, el escenario regional muestra que no se ha podido revertir la tendencia a la infantilización de la pobreza. Esta situación pone en agenda la urgente necesidad de un debate intersectorial que interpele a las políticas so</w:t>
      </w:r>
      <w:r>
        <w:t>ciales y trabaje sobre las condiciones de vida de los niños/as y adolescentes de América Latina (Giacometti y Pautassi, 2014).</w:t>
      </w:r>
    </w:p>
    <w:p w:rsidR="005B5CE3" w:rsidRDefault="00642485">
      <w:pPr>
        <w:pStyle w:val="Standard"/>
        <w:spacing w:after="200"/>
      </w:pPr>
      <w:r>
        <w:rPr>
          <w:b/>
        </w:rPr>
        <w:t>b. Evolución de las políticas públicas para los tres ciclos de vida</w:t>
      </w:r>
    </w:p>
    <w:p w:rsidR="005B5CE3" w:rsidRDefault="00642485">
      <w:pPr>
        <w:pStyle w:val="Standard"/>
      </w:pPr>
      <w:r>
        <w:t xml:space="preserve">Como diversos autores señalan (Filgueira, 2008; Martínez, </w:t>
      </w:r>
      <w:r>
        <w:rPr>
          <w:color w:val="FF0000"/>
        </w:rPr>
        <w:t>AÑO</w:t>
      </w:r>
      <w:r>
        <w:t xml:space="preserve">; Nogueira, </w:t>
      </w:r>
      <w:r>
        <w:rPr>
          <w:color w:val="FF0000"/>
        </w:rPr>
        <w:t>AÑO</w:t>
      </w:r>
      <w:r>
        <w:t>; Midaglia, 2005), la matriz de políticas públicas de Uruguay se caracteriza por tener en su estructura pilares universales sólidos y de larga data. El país ha consolidado desde desde la mitad del siglo XX, un sistema institucionalizado de p</w:t>
      </w:r>
      <w:r>
        <w:t>olíticas sociales de corte universalista y de amplia cobertura en lo educativo, laboral y sanitario (Filgueira, 2008). Este proceso de consolidación de la matriz de protección social en Uruguay se llevó a cabo de forma temprana  respecto al resto de los pa</w:t>
      </w:r>
      <w:r>
        <w:t>íses de la región. Sin embargo, se caracterizó también por la existencia de una "(...) estratificación de beneficios, condiciones de acceso, y rango de protección en materia de seguro y en similar medida en seguro de salud. Los trabajadores del Estado y lo</w:t>
      </w:r>
      <w:r>
        <w:t>s profesionales, servicios urbanos y trabajadores fabriles urbanos tuvieron acceso en ese orden a protecciones y beneficios, y también en ese orden estratificaron calidad y acceso. Los autoempleados, el sector informal, desempleados crónicos, y trabajadore</w:t>
      </w:r>
      <w:r>
        <w:t>s rurales lo hicieron más tardíamente y con peor suerte en materia de acceso y beneficios" (Filgueira, 1998: 85)</w:t>
      </w:r>
    </w:p>
    <w:p w:rsidR="005B5CE3" w:rsidRDefault="005B5CE3">
      <w:pPr>
        <w:pStyle w:val="Standard"/>
      </w:pPr>
    </w:p>
    <w:p w:rsidR="005B5CE3" w:rsidRDefault="00642485">
      <w:pPr>
        <w:pStyle w:val="Standard"/>
      </w:pPr>
      <w:r>
        <w:t xml:space="preserve">El sistema de protección social se consolidó en los primeros 30 años del siglo XX y se profundizó hasta el Golpe de Estado en el año 1973. En </w:t>
      </w:r>
      <w:r>
        <w:t>este período se registra una reasignación del gasto que produjo efectos sobre la calidad de la protección en áreas como la educación, la salud y la provisión social. En los años ´80, en un contexto social y político marcado por el retiro del Estado y la de</w:t>
      </w:r>
      <w:r>
        <w:t>sestructuración del mundo del trabajo asalariado formal se instala una nueva cuestión social a atender para el Uruguay: la pobreza. Esto se acentuará hacia la década de los ´90 en la que Uruguay registra un viraje en su estrategia de desarrollo al volcarse</w:t>
      </w:r>
      <w:r>
        <w:t xml:space="preserve"> hacia el mercado, tendencia que no es aislada, sino que viene a acompasar al contexto regional.</w:t>
      </w:r>
    </w:p>
    <w:p w:rsidR="005B5CE3" w:rsidRDefault="00642485">
      <w:pPr>
        <w:pStyle w:val="Standard"/>
        <w:spacing w:before="200"/>
      </w:pPr>
      <w:r>
        <w:lastRenderedPageBreak/>
        <w:t>A partir de este período, tienen lugar en el país reformas sociales de carácter heterogéneo que consolidan una matriz mixta en la que conviven estrategias uni</w:t>
      </w:r>
      <w:r>
        <w:t xml:space="preserve">versales con políticas focales, a cargo del Estado y de la sociedad civil, fenómeno que se mantiene hasta la actualidad (Midaglia, 2005; Cerutti et. al., 2014).  Desde entonces es posible identificar un proceso de agregación de programas que se incorporan </w:t>
      </w:r>
      <w:r>
        <w:t xml:space="preserve">en la matriz de protección social que tiene como resultante una superposición de estrategias o respuestas desde el Estado. Las políticas de primera infancia, infancia y adolescencia no escapan a esta lógica, la cual requiere de esfuerzos institucionales y </w:t>
      </w:r>
      <w:r>
        <w:t>políticos para reconstruir una matriz que conduzca a trayectorias unificadoras.</w:t>
      </w:r>
    </w:p>
    <w:p w:rsidR="005B5CE3" w:rsidRDefault="005B5CE3">
      <w:pPr>
        <w:pStyle w:val="Standard"/>
      </w:pPr>
    </w:p>
    <w:p w:rsidR="005B5CE3" w:rsidRDefault="00642485">
      <w:pPr>
        <w:pStyle w:val="Standard"/>
      </w:pPr>
      <w:r>
        <w:t xml:space="preserve">En el caso de las políticas de </w:t>
      </w:r>
      <w:r>
        <w:rPr>
          <w:i/>
        </w:rPr>
        <w:t>primera infancia</w:t>
      </w:r>
      <w:r>
        <w:t xml:space="preserve"> el proceso se caracterizó por la consolidación de políticas de protección social. Tradicionalmente, esta etapa de vida, fue pr</w:t>
      </w:r>
      <w:r>
        <w:t xml:space="preserve">iorizada por el sistema de salud vinculado a la etapa perinatal (programas materno infantiles, Programa Aduana son ejemplos de ello) y a las políticas de vacunación. Tras la Reforma de la Salud del año 2008 se incluye también la dimensión de la prevención </w:t>
      </w:r>
      <w:r>
        <w:t>a través de la promoción de los controles de salud tanto del niño como de la mujer embarazada.</w:t>
      </w:r>
    </w:p>
    <w:p w:rsidR="005B5CE3" w:rsidRDefault="005B5CE3">
      <w:pPr>
        <w:pStyle w:val="Standard"/>
      </w:pPr>
    </w:p>
    <w:p w:rsidR="005B5CE3" w:rsidRDefault="00642485">
      <w:pPr>
        <w:pStyle w:val="Standard"/>
      </w:pPr>
      <w:r>
        <w:t>En referencia a la educación, históricamente Uruguay no tuvo una oferta educativa para los primeros años de vida. A partir de las primeras décadas del siglo XX</w:t>
      </w:r>
      <w:r>
        <w:t xml:space="preserve"> se genera una oferta pública orientada a la población vulnerable en el INAU, que a partir de la creación del Plan Caif en el año 1988, se amplía considerablemente. La universalización y obligatoriedad de 4 y 5 años se da a partir del período de gobierno 2</w:t>
      </w:r>
      <w:r>
        <w:t>005-2010 y en la actualidad se está avanzando hacia la universalización de 3 años.</w:t>
      </w:r>
    </w:p>
    <w:p w:rsidR="005B5CE3" w:rsidRDefault="005B5CE3">
      <w:pPr>
        <w:pStyle w:val="Standard"/>
      </w:pPr>
    </w:p>
    <w:p w:rsidR="005B5CE3" w:rsidRDefault="00642485">
      <w:pPr>
        <w:pStyle w:val="Standard"/>
      </w:pPr>
      <w:r>
        <w:t>Atendiendo a otras vulnerabilidades y necesidades de esta población -no necesariamente abordadas sectorialmente hasta entonces-, en la actualidad se crean políticas que co</w:t>
      </w:r>
      <w:r>
        <w:t>mbinan en su diseño una vocación universal con acciones focalizadas desde un abordaje multicausal. En esta línea, se destaca especialmente el Programa Uruguay Crece Contigo y más recientemente la creación del Sistema Nacional Integrado de Cuidados con un f</w:t>
      </w:r>
      <w:r>
        <w:t>uerte componente en primera infancia.</w:t>
      </w:r>
    </w:p>
    <w:p w:rsidR="005B5CE3" w:rsidRDefault="005B5CE3">
      <w:pPr>
        <w:pStyle w:val="Standard"/>
      </w:pPr>
    </w:p>
    <w:p w:rsidR="005B5CE3" w:rsidRDefault="00642485">
      <w:pPr>
        <w:pStyle w:val="Standard"/>
      </w:pPr>
      <w:r>
        <w:t>A pesar de los esfuerzos realizados en el área de primera infancia, por pensar las políticas en términos de acumulación, en la actualidad aún se mantiene una operativa fragmentaria tanto en los servicios, como en las</w:t>
      </w:r>
      <w:r>
        <w:t xml:space="preserve"> prestaciones y regulaciones que se combinan además con la existencia de múltiples espacios de coordinación (Midaglia et.al,</w:t>
      </w:r>
      <w:r>
        <w:rPr>
          <w:color w:val="FF0000"/>
        </w:rPr>
        <w:t>AÑO</w:t>
      </w:r>
      <w:r>
        <w:t xml:space="preserve">: 52).  </w:t>
      </w:r>
    </w:p>
    <w:p w:rsidR="005B5CE3" w:rsidRDefault="005B5CE3">
      <w:pPr>
        <w:pStyle w:val="Standard"/>
      </w:pPr>
    </w:p>
    <w:p w:rsidR="005B5CE3" w:rsidRDefault="00642485">
      <w:pPr>
        <w:pStyle w:val="Standard"/>
        <w:spacing w:after="200"/>
      </w:pPr>
      <w:r>
        <w:t xml:space="preserve">Para el caso de las políticas de </w:t>
      </w:r>
      <w:r>
        <w:rPr>
          <w:i/>
        </w:rPr>
        <w:t>infancia</w:t>
      </w:r>
      <w:r>
        <w:t>, la educación se configura desde la universalidad en cobertura y acceso. En e</w:t>
      </w:r>
      <w:r>
        <w:t xml:space="preserve">l caso de la salud si bien se concibe como universal su acceso se garantiza con la mencionada reforma de la salud. Cuando se analiza el acceso por nivel socioeconómico se observan brechas significativas Para ello, se han desarrollado políticas que apuntan </w:t>
      </w:r>
      <w:r>
        <w:t>a la promoción y protección de derechos que son vulnerados que complementan a las políticas universales mencionadas. En el área de políticas educativas encontramos aquellas que apuntan a aumentar el tiempo pedagógico, como las escuelas de Tiempo Completo y</w:t>
      </w:r>
      <w:r>
        <w:t xml:space="preserve"> Tiempo Extendido. En cuanto a políticas socioeducativas que proponen mayor tiempo pedagógico con perfiles socioeducativos y con anclaje territorial se encuentran el Programa de Maestros Comunitarios y los  Clubes de Niños. En la arena de las políticas de </w:t>
      </w:r>
      <w:r>
        <w:t>salud se fortalece el Programa de Salud de la Niñez del MSP.</w:t>
      </w:r>
    </w:p>
    <w:p w:rsidR="005B5CE3" w:rsidRDefault="00642485">
      <w:pPr>
        <w:pStyle w:val="Standard"/>
        <w:spacing w:after="200"/>
      </w:pPr>
      <w:r>
        <w:t xml:space="preserve">En la </w:t>
      </w:r>
      <w:r>
        <w:rPr>
          <w:i/>
        </w:rPr>
        <w:t>adolescencia</w:t>
      </w:r>
      <w:r>
        <w:t xml:space="preserve"> el recorrido no se presenta de forma lineal debido a que la educación en sus orígenes era una política educativa que no tenía aspiraciones universalistas, sino que era concebi</w:t>
      </w:r>
      <w:r>
        <w:t>da sólo para aquellos estudiantes que iban a cursar educación terciaria o universitaria. En las últimas décadas, esta noción ha dado un vuelco significativo, ya que el foco se ha puesto en que todos/as los adolescentes deben acceder y permanecer en el sist</w:t>
      </w:r>
      <w:r>
        <w:t>ema educativo siendo obligatorio completar el ciclo de educación media superior. En el caso de las políticas de salud, desde sus inicios, se parte de una visión universalista en el acceso que se consolida a partir de la implementación de la reforma de la s</w:t>
      </w:r>
      <w:r>
        <w:t xml:space="preserve">alud mencionada anteriormente. En cuanto a la calidad en la prestación el Programa Nacional de Salud Adolescente definió prioridades que apuntan a una atención integral de los y las adolescentes desde un enfoque de derechos y de género.  </w:t>
      </w:r>
    </w:p>
    <w:p w:rsidR="005B5CE3" w:rsidRDefault="00642485">
      <w:pPr>
        <w:pStyle w:val="Standard"/>
        <w:spacing w:after="200"/>
      </w:pPr>
      <w:r>
        <w:t>A continuación no</w:t>
      </w:r>
      <w:r>
        <w:t>s centraremos en el análisis de la oferta programática de las políticas sociales en el presente</w:t>
      </w:r>
      <w:r>
        <w:rPr>
          <w:rStyle w:val="Refdenotaalpie"/>
        </w:rPr>
        <w:footnoteReference w:id="10"/>
      </w:r>
      <w:r>
        <w:t>. En la actualidad, se destaca una predominancia de programas que están dirigidos a primera infancia, infancia y adolescencia. Para todos estos tramos etarios, las políticas que predominan se caracterizan por estar pensadas para población en situación de</w:t>
      </w:r>
      <w:r>
        <w:t xml:space="preserve"> vulnerabilidad, siendo programas que incorporan criterios de acceso a servicios y prestaciones basados en la focalización. Además, se encuentran las políticas universales que refieren a la educación formal y el acceso a la salud. También se implementan po</w:t>
      </w:r>
      <w:r>
        <w:t xml:space="preserve">líticas que implican transferencias monetarias sujetas a condicionalidades en los tres ciclos de vida. </w:t>
      </w:r>
      <w:r>
        <w:lastRenderedPageBreak/>
        <w:t>Existen dos tipos de modalidades de asignación familiar, uno la contributiva y dos, Plan de Equidad. Asimismo se implementa  la Tarjeta de Uruguay Social</w:t>
      </w:r>
      <w:r>
        <w:t xml:space="preserve"> (TUS).</w:t>
      </w:r>
    </w:p>
    <w:p w:rsidR="005B5CE3" w:rsidRDefault="00642485">
      <w:pPr>
        <w:pStyle w:val="Standard"/>
        <w:spacing w:after="200"/>
      </w:pPr>
      <w:r>
        <w:t>El Plan de Equidad representan el 0.3 % del PBI y el 1.2 del Gasto Público Social, mientras que la Tarjeta Uruguay Social (TUS) el 0.1 % del PBI y el 0.4 % del Gasto Público Social de nuestro país. La Tarjeta Uruguay Social es una transferencia mo</w:t>
      </w:r>
      <w:r>
        <w:t xml:space="preserve">netaria dirigida a mejorar el acceso (exclusivo) a alimentos e insumos de limpieza de hogares en situación de alta vulnerabilidad. Actualmente son 67 mil hogares los que reciben esta prestación y el monto varía según la composición familiar y el número de </w:t>
      </w:r>
      <w:r>
        <w:t>niños/as y adolescentes. Con respecto a las asignaciones familiares (Plan de Equidad), en la actualidad se otorgan 386.701 mil beneficiarios. De igual manera, el monto de la asignación familiar (Plan de Equidad) se otorga en función de la cantidad de niños</w:t>
      </w:r>
      <w:r>
        <w:t>/as y adolescentes integrantes del hogar. Por su parte las asignaciones familiares contributivas alcanzan a más de cien mil beneficiarios.</w:t>
      </w:r>
    </w:p>
    <w:p w:rsidR="005B5CE3" w:rsidRDefault="00642485">
      <w:pPr>
        <w:pStyle w:val="Standard"/>
        <w:spacing w:after="200"/>
      </w:pPr>
      <w:r>
        <w:t>Del análisis de la interinstitucionalidad se desprende que en promedio participan unas 19 instituciones para cada pob</w:t>
      </w:r>
      <w:r>
        <w:t>lación definida, lo que trae como consecuencia un fuerte desafío en materia de coordinación y articulación entre las instituciones.</w:t>
      </w:r>
    </w:p>
    <w:p w:rsidR="005B5CE3" w:rsidRDefault="00642485">
      <w:pPr>
        <w:pStyle w:val="Standard"/>
        <w:spacing w:after="200"/>
      </w:pPr>
      <w:r>
        <w:t>El INAU es el principal oferente en estos ciclos de vida, le sigue la ANEP y luego el MIDES. Se observa también la fuerte p</w:t>
      </w:r>
      <w:r>
        <w:t>articipación de las OSCs en la coejecución con organismos del estado en  iniciativas que apuntan al trabajo con niños, niñas y adolescentes.</w:t>
      </w:r>
    </w:p>
    <w:p w:rsidR="005B5CE3" w:rsidRDefault="00642485">
      <w:pPr>
        <w:pStyle w:val="Standard"/>
        <w:spacing w:after="200"/>
      </w:pPr>
      <w:r>
        <w:t xml:space="preserve">Asimismo la matriz de protección social contempla un conjunto de riesgos específicos que son planteados con fuerza </w:t>
      </w:r>
      <w:r>
        <w:t>en el Plan, como ser desvinculación educativa, vulneración de derechos a NNA, conflicto con la ley, maltrato abuso y violencia, situación de calle y consumo problemático de sustancias psicoactivas. Aquí también se observa una multiplicidad de actores e ini</w:t>
      </w:r>
      <w:r>
        <w:t>ciativas que complejizan aún más la eficiencia y eficacia de las intervenciones sociales.</w:t>
      </w:r>
    </w:p>
    <w:p w:rsidR="005B5CE3" w:rsidRDefault="00642485">
      <w:pPr>
        <w:pStyle w:val="Standard"/>
        <w:spacing w:after="200"/>
      </w:pPr>
      <w:r>
        <w:t>Esta proliferación de políticas y programas sociales para la infancia y la adolescencia, combinada con la ausencia de una única institución encargada de la planifica</w:t>
      </w:r>
      <w:r>
        <w:t>ción y el diseño de estas iniciativas, puede generar la existencia de solapamientos y de regulaciones y supervisiones dispares. Pues de hecho, existen estudios que muestran cómo los esfuerzos crecientes en materia de políticas de primera infancia en el paí</w:t>
      </w:r>
      <w:r>
        <w:t>s se han implementado con una lógica fragmentada que no contribuye a la eficacia y eficiencia de las iniciativas (Informe Convenio ICP – UCC, 2014). Ante dicha situación se han ensayado distintos esfuerzos de coordinación, con resultados dispares.</w:t>
      </w:r>
    </w:p>
    <w:p w:rsidR="005B5CE3" w:rsidRDefault="00642485">
      <w:pPr>
        <w:pStyle w:val="Standard"/>
        <w:spacing w:after="200"/>
      </w:pPr>
      <w:r>
        <w:lastRenderedPageBreak/>
        <w:t>La re je</w:t>
      </w:r>
      <w:r>
        <w:t>rarquización del Consejo Nacional de Políticas Sociales y el diseño de la Estrategia Nacional de Desarrollo y Bienestar Social 2015- 2020 busca avanzar en una perspectiva universalista del conjunto de reformas así como en las modificaciones y ajustes neces</w:t>
      </w:r>
      <w:r>
        <w:t xml:space="preserve">arios a las políticas sectoriales impulsadas. Complementariamente, la Comisión busca avanzar en la discusión y aportar insumos al CNPS para la toma de decisiones políticas que promuevan la construcción de un </w:t>
      </w:r>
      <w:r>
        <w:rPr>
          <w:i/>
        </w:rPr>
        <w:t>sistema de protección integral a la primera infa</w:t>
      </w:r>
      <w:r>
        <w:rPr>
          <w:i/>
        </w:rPr>
        <w:t>ncia, infancia y adolescencia</w:t>
      </w:r>
      <w:r>
        <w:t xml:space="preserve"> que dé coherencia a las intervenciones y unifique criterios comunes y complementarios de protección.</w:t>
      </w:r>
    </w:p>
    <w:p w:rsidR="005B5CE3" w:rsidRDefault="00642485">
      <w:pPr>
        <w:pStyle w:val="Standard"/>
        <w:spacing w:after="200"/>
      </w:pPr>
      <w:r>
        <w:rPr>
          <w:color w:val="222222"/>
        </w:rPr>
        <w:t>Este Plan de acción, concebido desde una comisión interinstitucional liderada por INAU, UCC y MIDES, y en la que participan t</w:t>
      </w:r>
      <w:r>
        <w:rPr>
          <w:color w:val="222222"/>
        </w:rPr>
        <w:t>odos los organismos estatales involucrados en esta arena de política pública, busca superar la fragmentación atacando el problema desde la misma planificación. Así, se busca conseguir una mirada comprensiva de la primera infancia, infancia y la adolescenci</w:t>
      </w:r>
      <w:r>
        <w:rPr>
          <w:color w:val="222222"/>
        </w:rPr>
        <w:t>a, para otorgar una respuesta integral, articulada y coordinada desde el Estado. Adicionalmente, mediante la puesta en práctica de esta lógica de trabajo, se convierte a este espacio interinstitucional en un referente de la política a mediano plazo, ofreci</w:t>
      </w:r>
      <w:r>
        <w:rPr>
          <w:color w:val="222222"/>
        </w:rPr>
        <w:t>endo de esta manera una solución duradera al desafío que implica la coordinación y la articulación de las políticas de primera infancia, infancia y adolescencia en el país.</w:t>
      </w:r>
    </w:p>
    <w:p w:rsidR="005B5CE3" w:rsidRDefault="00642485">
      <w:pPr>
        <w:pStyle w:val="Standard"/>
        <w:spacing w:after="200"/>
      </w:pPr>
      <w:r>
        <w:rPr>
          <w:b/>
        </w:rPr>
        <w:t>4. Principios orientadores</w:t>
      </w:r>
    </w:p>
    <w:p w:rsidR="005B5CE3" w:rsidRDefault="00642485">
      <w:pPr>
        <w:pStyle w:val="Standard"/>
        <w:spacing w:after="200"/>
      </w:pPr>
      <w:r>
        <w:t>Las políticas previstas en el Plan fueron diseñadas en</w:t>
      </w:r>
      <w:r>
        <w:t xml:space="preserve"> función de diversos principios orientadores que guían la formulación de acciones para estos ciclos de vida. Se trata de principios normativos, conceptuales y analíticos que atraviesan todas las definiciones contenidas en el presente documento y favorecen </w:t>
      </w:r>
      <w:r>
        <w:t>el desarrollo de políticas integrales y la visibilización de las desigualdades en la primera infancia, infancia, adolescencia y sus familias.</w:t>
      </w:r>
    </w:p>
    <w:p w:rsidR="005B5CE3" w:rsidRDefault="00642485">
      <w:pPr>
        <w:pStyle w:val="Standard"/>
        <w:spacing w:after="200"/>
      </w:pPr>
      <w:r>
        <w:t>El Plan se sustenta en un marco conceptual que incorpora la perspectiva de derechos de niños, niñas y adolescente</w:t>
      </w:r>
      <w:r>
        <w:t xml:space="preserve">s, de género, etnia-raza, diversidad sexual y personas con discapacidad. A su vez, integra a las familias como sujetos de intervención e incluye la dimensión territorial y comunitaria como ámbitos en donde se materializa y se expresa la política pública.  </w:t>
      </w:r>
      <w:r>
        <w:t>Todos estos principios orientadores además de delimitar un marco conceptual, tienen un correlato metodológico que guía las intervenciones e implementación del Plan.</w:t>
      </w:r>
    </w:p>
    <w:p w:rsidR="005B5CE3" w:rsidRDefault="00642485">
      <w:pPr>
        <w:pStyle w:val="Standard"/>
      </w:pPr>
      <w:r>
        <w:lastRenderedPageBreak/>
        <w:t xml:space="preserve">Este Plan tiene como horizonte el bienestar de niños, niñas, adolescentes y sus familias. </w:t>
      </w:r>
      <w:r>
        <w:t xml:space="preserve">Parte del supuesto de que para garantizar un bienestar es fundamental que las políticas estén orientadas desde el universalismo y que en los casos que sea necesario incorpore instrumentos focales. Para impulsar el bienestar es necesaria la construcción de </w:t>
      </w:r>
      <w:r>
        <w:t>alianzas entre el Estado, familia -y dentro de ésta la corresponsabilidad entre varones y mujeres- y sociedad civil donde se entienda que el bienestar es un asunto de todos y requiere, por ende, de una corresponsabilidad de las partes. Para ello, es necesa</w:t>
      </w:r>
      <w:r>
        <w:t>ria una solidaridad intergeneracional donde los adultos tienen un rol en la construcción del bienestar de niños, niñas y adolescentes.</w:t>
      </w:r>
    </w:p>
    <w:p w:rsidR="005B5CE3" w:rsidRDefault="00642485">
      <w:pPr>
        <w:pStyle w:val="Standard"/>
        <w:spacing w:after="200"/>
      </w:pPr>
      <w:r>
        <w:t>En síntesis este es un plan pensado para todos los niños, niñas, adolescentes del Uruguay.</w:t>
      </w:r>
    </w:p>
    <w:p w:rsidR="005B5CE3" w:rsidRDefault="00642485">
      <w:pPr>
        <w:pStyle w:val="Standard"/>
        <w:spacing w:after="200"/>
      </w:pPr>
      <w:r>
        <w:rPr>
          <w:b/>
          <w:color w:val="222222"/>
        </w:rPr>
        <w:t xml:space="preserve">4.1. Derechos de niños, niñas </w:t>
      </w:r>
      <w:r>
        <w:rPr>
          <w:b/>
          <w:color w:val="222222"/>
        </w:rPr>
        <w:t>y adolescentes.</w:t>
      </w:r>
    </w:p>
    <w:p w:rsidR="005B5CE3" w:rsidRDefault="00642485">
      <w:pPr>
        <w:pStyle w:val="Standard"/>
        <w:spacing w:after="200"/>
      </w:pPr>
      <w:r>
        <w:rPr>
          <w:color w:val="222222"/>
        </w:rPr>
        <w:t>El plan se basa en la profunda convicción de que las acciones planificadas constituyen un asunto de derechos humanos, con énfasis en los derechos de niños, niñas y adolescentes.</w:t>
      </w:r>
    </w:p>
    <w:p w:rsidR="005B5CE3" w:rsidRDefault="00642485">
      <w:pPr>
        <w:pStyle w:val="Standard"/>
        <w:spacing w:after="200"/>
      </w:pPr>
      <w:r>
        <w:t>En el año 1989 es aprobada por la Asamblea General de Naciones</w:t>
      </w:r>
      <w:r>
        <w:t xml:space="preserve"> Unidas la Convención de los Derechos del Niño ratificada por más de 180 países del mundo. En Uruguay entra en vigencia el 2 de setiembre de 1990.  Pasaron más de 40 años, a partir de la Declaración Universal de los Derechos Humanos,  para que los derechos</w:t>
      </w:r>
      <w:r>
        <w:t xml:space="preserve"> de niños, niñas y adolescentes formen parte de la agenda internacional y sean abordados de manera específica.</w:t>
      </w:r>
    </w:p>
    <w:p w:rsidR="005B5CE3" w:rsidRDefault="00642485">
      <w:pPr>
        <w:pStyle w:val="Standard"/>
        <w:spacing w:after="200"/>
      </w:pPr>
      <w:r>
        <w:t>Tanto la Convención como su expresión nacional a través del Código de la Niñez y Adolescencia en Uruguay (2004 Ley 17.823) consisten en marcos or</w:t>
      </w:r>
      <w:r>
        <w:t>ientadores acerca de qué infancia y adolescencia queremos. Son guías ineludibles en lo conceptual, en el horizonte al que pretendemos alcanzar, así como también constituyen marcos legales y regulatorios.</w:t>
      </w:r>
    </w:p>
    <w:p w:rsidR="005B5CE3" w:rsidRDefault="00642485">
      <w:pPr>
        <w:pStyle w:val="Standard"/>
        <w:spacing w:after="200"/>
      </w:pPr>
      <w:r>
        <w:t>Uno de los cambios fundamentales es la transformaci</w:t>
      </w:r>
      <w:r>
        <w:t>ón del paradigma sobre cómo se concibe la niñez y adolescencia. Se transita desde una noción del menor como situación irregular hacia niños, niñas y adolescentes como sujetos de derecho. Aplicar el paradigma de la Convención implica entender a niños, niñas</w:t>
      </w:r>
      <w:r>
        <w:t xml:space="preserve"> y adolescentes como personas que en tanto sujetos tienen derechos que son universales, irrenunciables, inalienables, indivisibles, interdependientes y exigibles.  En este sentido, tanto la comunidad internacional, el Estado parte, como los adultos referen</w:t>
      </w:r>
      <w:r>
        <w:t>tes, deben garantizar, promover y respetar los derechos de niños, niñas y adolescentes enunciados.</w:t>
      </w:r>
    </w:p>
    <w:p w:rsidR="005B5CE3" w:rsidRDefault="00642485">
      <w:pPr>
        <w:pStyle w:val="Standard"/>
        <w:spacing w:after="200"/>
      </w:pPr>
      <w:r>
        <w:lastRenderedPageBreak/>
        <w:t>Así lo establece el Código de la Niñez y Adolescencia de nuestro país en el capítulo II, artículo 8: “</w:t>
      </w:r>
      <w:r>
        <w:rPr>
          <w:i/>
        </w:rPr>
        <w:t>Todo niño y adolescente goza de los derechos inherentes</w:t>
      </w:r>
      <w:r>
        <w:rPr>
          <w:i/>
        </w:rPr>
        <w:t xml:space="preserve"> a la persona humana”.</w:t>
      </w:r>
    </w:p>
    <w:p w:rsidR="005B5CE3" w:rsidRDefault="00642485">
      <w:pPr>
        <w:pStyle w:val="Standard"/>
        <w:spacing w:after="200"/>
      </w:pPr>
      <w:r>
        <w:t>Toda política pública en primera infancia, infancia y adolescencia que pretenda incorporar la perspectiva de derechos, debe primero, promover y entender a los sujetos con derechos exigibles y esto genera obligaciones para el Estado y</w:t>
      </w:r>
      <w:r>
        <w:t xml:space="preserve"> las familias. Esto implica también poner a los sujetos en el centro, desde una concepción de sujeto de derecho, con voz y voto en los procesos de elaboración de las políticas públicas. La Convención y el Código plantean que las Instituciones públicas o pr</w:t>
      </w:r>
      <w:r>
        <w:t>ivadas de bienestar social deberán tener una consideración primordial y permanente al interés superior del niño.</w:t>
      </w:r>
    </w:p>
    <w:p w:rsidR="005B5CE3" w:rsidRDefault="00642485">
      <w:pPr>
        <w:pStyle w:val="Standard"/>
        <w:spacing w:after="200"/>
      </w:pPr>
      <w:r>
        <w:t>El rol del Estado es central en las estrategias de desarrollo y en la reducción de las desigualdades. Éste deberá velar porque las personas sea</w:t>
      </w:r>
      <w:r>
        <w:t>n iguales tanto desde lo formal como material. Esto requiere prestar especial atención a los grupos que se encuentran en situaciones de especial vulnerabilidad.  En este sentido el Plan de Primera Infancia, Infancia y Adolescencia en tanto estrategia de de</w:t>
      </w:r>
      <w:r>
        <w:t>sarrollo para la acción está orientando en el paradigma del enfoque de derechos para el diseño de las políticas sociales de primera infancia, infancia y adolescencia. Por tanto las políticas que allí se enmarcan presentan una concepción integral de los suj</w:t>
      </w:r>
      <w:r>
        <w:t>etos y brindan respuestas en consonancia con la perspectiva de derechos planteada por la Convención Sobre los Derechos del Niño de Naciones Unidas.</w:t>
      </w:r>
    </w:p>
    <w:p w:rsidR="005B5CE3" w:rsidRDefault="00642485">
      <w:pPr>
        <w:pStyle w:val="Standard"/>
        <w:spacing w:after="200"/>
      </w:pPr>
      <w:r>
        <w:t xml:space="preserve">Tal como lo plantea el Código en el capítulo II, artículo 9 que </w:t>
      </w:r>
      <w:r>
        <w:rPr>
          <w:i/>
        </w:rPr>
        <w:t>“Todo niño y adolescente tiene derecho intrí</w:t>
      </w:r>
      <w:r>
        <w:rPr>
          <w:i/>
        </w:rPr>
        <w:t>nseco a la vida, dignidad, libertad, identidad, integridad, imagen, salud, educación, recreación, descanso, cultura, participación, asociación, a los beneficios de la seguridad social y a ser tratado en igualdad de condiciones cualquiera sea su sexo, su re</w:t>
      </w:r>
      <w:r>
        <w:rPr>
          <w:i/>
        </w:rPr>
        <w:t>ligión, etnia o condición social”</w:t>
      </w:r>
      <w:r>
        <w:t>.</w:t>
      </w:r>
    </w:p>
    <w:p w:rsidR="005B5CE3" w:rsidRDefault="00642485">
      <w:pPr>
        <w:pStyle w:val="Standard"/>
        <w:spacing w:after="200"/>
      </w:pPr>
      <w:r>
        <w:t>La perspectiva de Género, de Diversidad sexual, étnico – racial y la de inclusión de personas con discapacidad constituyen marcos referenciales tanto en lo conceptual como en lo operacional para el desarrollo de planes d</w:t>
      </w:r>
      <w:r>
        <w:t>e acción como para el diseño y la implementación de políticas públicas.</w:t>
      </w:r>
    </w:p>
    <w:p w:rsidR="005B5CE3" w:rsidRDefault="00642485">
      <w:pPr>
        <w:pStyle w:val="Standard"/>
        <w:spacing w:after="200"/>
      </w:pPr>
      <w:r>
        <w:t>Desde el Estado se favorecerá el desarrollo integral de todas las potencialidades del niño y del adolescente como persona en condición de desarrollo, a través de la promoción en equida</w:t>
      </w:r>
      <w:r>
        <w:t>d, evitando que se generen desigualdades por conceptos discriminatorios por causa de sexo, etnia, religión o condición social.</w:t>
      </w:r>
    </w:p>
    <w:p w:rsidR="005B5CE3" w:rsidRDefault="00642485">
      <w:pPr>
        <w:pStyle w:val="Standard"/>
        <w:spacing w:after="200"/>
      </w:pPr>
      <w:r>
        <w:lastRenderedPageBreak/>
        <w:t>En primera infancia, infancia y la adolescencia existen inequidades de diversa índole, por condición socioeconómica, por género,</w:t>
      </w:r>
      <w:r>
        <w:t xml:space="preserve"> por origen étnico, por características psicofísicas, orientación sexua,l entre otros, las cuales  desde el Estado, la sociedad, el mercado y las familias deben ser abordadas.</w:t>
      </w:r>
    </w:p>
    <w:p w:rsidR="005B5CE3" w:rsidRDefault="00642485">
      <w:pPr>
        <w:pStyle w:val="Standard"/>
        <w:spacing w:before="120" w:after="120"/>
      </w:pPr>
      <w:r>
        <w:t>A nivel internacional existen tratados específicos que promueven el principio de</w:t>
      </w:r>
      <w:r>
        <w:t xml:space="preserve"> igualdad ante la ley y de igual protección de la ley,  prohíben la discriminación y promueven acciones y políticas afirmativas como ser, la Convención Internacional sobre la Eliminación de Todas las Formas de Discriminación Racial, la Convención sobre la </w:t>
      </w:r>
      <w:r>
        <w:t>Eliminación de Todas las Formas de Discriminación Contra la Mujer, la Convención sobre los Derechos de las Personas con Discapacidad, la Convención Interamericana para la Eliminación de Todas las Formas de Discriminación contra las Personas con Discapacida</w:t>
      </w:r>
      <w:r>
        <w:t>d.</w:t>
      </w:r>
    </w:p>
    <w:p w:rsidR="005B5CE3" w:rsidRDefault="00642485">
      <w:pPr>
        <w:pStyle w:val="Standard"/>
        <w:spacing w:before="120" w:after="120"/>
      </w:pPr>
      <w:r>
        <w:t xml:space="preserve">La Convención de los Derechos del Niño de Naciones Unidas en su artículo 2 establece que </w:t>
      </w:r>
      <w:r>
        <w:rPr>
          <w:i/>
        </w:rPr>
        <w:t>“Los Estados Partes respetarán los derechos enunciados en la presente Convención y asegurará su aplicación a cada niño sujeto a su jurisdicción, sin distinción algu</w:t>
      </w:r>
      <w:r>
        <w:rPr>
          <w:i/>
        </w:rPr>
        <w:t xml:space="preserve">na, independientemente de la raza, el color, el sexo, el Idioma, la religión, la opinión política o de otra índole, el origen nacional, étnico o social, la posición económica, los impedimentos físicos, el nacimiento o cualquier otra condición del niño, de </w:t>
      </w:r>
      <w:r>
        <w:rPr>
          <w:i/>
        </w:rPr>
        <w:t>sus padres o de sus representantes legales.”.</w:t>
      </w:r>
    </w:p>
    <w:p w:rsidR="005B5CE3" w:rsidRDefault="00642485">
      <w:pPr>
        <w:pStyle w:val="Standard"/>
        <w:spacing w:after="200"/>
      </w:pPr>
      <w:r>
        <w:t xml:space="preserve">La inclusión de niños, niñas y adolescentes con </w:t>
      </w:r>
      <w:r>
        <w:rPr>
          <w:b/>
          <w:i/>
        </w:rPr>
        <w:t>discapacidad</w:t>
      </w:r>
      <w:r>
        <w:rPr>
          <w:b/>
        </w:rPr>
        <w:t xml:space="preserve"> </w:t>
      </w:r>
      <w:r>
        <w:t>es uno de los horizontes a los cuales este Plan pretende alcanzar. Todo niño y adolescente, que presente una alteración funcional permanente o prolon</w:t>
      </w:r>
      <w:r>
        <w:t>gada, física o mental tiene derecho a vivir en condiciones que aseguren su participación social a través del acceso efectivo a todos los derechos que establece la Convención como el Código.</w:t>
      </w:r>
    </w:p>
    <w:p w:rsidR="005B5CE3" w:rsidRDefault="00642485">
      <w:pPr>
        <w:pStyle w:val="Standard"/>
        <w:spacing w:after="200"/>
      </w:pPr>
      <w:r>
        <w:t>Para hacer efectivo el acceso desde el Estado se debe implementar</w:t>
      </w:r>
      <w:r>
        <w:t xml:space="preserve"> </w:t>
      </w:r>
      <w:r>
        <w:rPr>
          <w:i/>
        </w:rPr>
        <w:t>“un sistema de protección integral a las personas con discapacidad, tendiente a asegurarles su atención médica, su educación, su rehabilitación física, psíquica, social, económica y profesional y su cobertura de seguridad social, así como otorgarles los b</w:t>
      </w:r>
      <w:r>
        <w:rPr>
          <w:i/>
        </w:rPr>
        <w:t>eneficios, las prestaciones y estímulos que permitan neutralizar las desventajas que la discapacidad les provoca y les dé oportunidad, mediante su esfuerzo, de desempeñar en la comunidad un rol equivalente al que ejercen las demás personas”.</w:t>
      </w:r>
      <w:r>
        <w:t xml:space="preserve"> Sistema establ</w:t>
      </w:r>
      <w:r>
        <w:t>ecido en el artículo primero de la ley 18.651.</w:t>
      </w:r>
    </w:p>
    <w:p w:rsidR="005B5CE3" w:rsidRDefault="00642485">
      <w:pPr>
        <w:pStyle w:val="Standard"/>
        <w:spacing w:after="200"/>
      </w:pPr>
      <w:r>
        <w:t xml:space="preserve">La Convención Internacional sobre los Derechos de las Personas con Discapacidad propone  un cambio de paradigma basado en un modelo de apoyo y promoción de autonomía e </w:t>
      </w:r>
      <w:r>
        <w:lastRenderedPageBreak/>
        <w:t>independencia. Esto implica una nueva man</w:t>
      </w:r>
      <w:r>
        <w:t>era de pensar y de actuar sobre la discapacidad, partiendo de la condición de sujetos en igualdad de condiciones en los que según cada caso se requiere de la implementación de sistemas de apoyos o ajustes razonables para garantizar el acceso y ejercicio un</w:t>
      </w:r>
      <w:r>
        <w:t>iversal.</w:t>
      </w:r>
    </w:p>
    <w:p w:rsidR="005B5CE3" w:rsidRDefault="00642485">
      <w:pPr>
        <w:pStyle w:val="Standard"/>
        <w:spacing w:after="200"/>
      </w:pPr>
      <w:r>
        <w:t>Uno de los avances más significativos en este tema consiste en la puesta en marcha del Plan Nacional de Acceso a la Justicia y Protección Jurídica de las Personas en Situación de Discapacidad 2015-2020.</w:t>
      </w:r>
    </w:p>
    <w:p w:rsidR="005B5CE3" w:rsidRDefault="00642485">
      <w:pPr>
        <w:pStyle w:val="Standard"/>
        <w:spacing w:before="120" w:after="120"/>
      </w:pPr>
      <w:r>
        <w:t xml:space="preserve">La inclusión de la </w:t>
      </w:r>
      <w:r>
        <w:rPr>
          <w:b/>
          <w:i/>
        </w:rPr>
        <w:t>perspectiva de género</w:t>
      </w:r>
      <w:r>
        <w:t xml:space="preserve"> en </w:t>
      </w:r>
      <w:r>
        <w:t>las políticas dirigidas a la primera infancia, infancia, adolescencia y sus familias, implica que el diseño e implementación de las mismas es realizado contemplando la perspectiva ética, política, teórica y operativa que cuestiona y desnaturaliza las desig</w:t>
      </w:r>
      <w:r>
        <w:t>ualdades basadas en la diferencia sexual y promueve la equidad de derechos entre mujeres y varones.</w:t>
      </w:r>
    </w:p>
    <w:p w:rsidR="005B5CE3" w:rsidRDefault="00642485">
      <w:pPr>
        <w:pStyle w:val="Standard"/>
        <w:spacing w:before="120" w:after="120"/>
      </w:pPr>
      <w:r>
        <w:t>El concepto de género hace referencia a las construcciones sociohistóricas que estructuran las relaciones de poder entre las personas en función de la dife</w:t>
      </w:r>
      <w:r>
        <w:t>rencia sexual. Se trata de construcciones dicotómicas que polarizan lo masculino y lo femenino, produciendo así ámbitos y competencias diferenciales según el sexo de las personas. De este modo, el mundo público y el ámbito del empleo son asociados con lo m</w:t>
      </w:r>
      <w:r>
        <w:t>asculino, y el mundo privado, doméstico y de cuidados a lo femenino. Estas construcciones sostienen y naturalizan desigualdades que producen vulnerabilidades específicas en las personas, especialmente en las mujeres.</w:t>
      </w:r>
    </w:p>
    <w:p w:rsidR="005B5CE3" w:rsidRDefault="00642485">
      <w:pPr>
        <w:pStyle w:val="Standard"/>
        <w:spacing w:before="120" w:after="120"/>
      </w:pPr>
      <w:r>
        <w:t xml:space="preserve">Todas estas pautas, son internalizadas </w:t>
      </w:r>
      <w:r>
        <w:t>por los individuos mediante los procesos de socialización, en los cuales las familias, las instituciones y los grupos de pares transmiten auto percepciones, valoraciones, ocupaciones y ámbitos de desarrollo diferenciales para varones y mujeres.  La infanci</w:t>
      </w:r>
      <w:r>
        <w:t>a y adolescencia constituyen etapas óptimas para incorporar el enfoque de igualdad de género mediante acciones concretas que permitan problematizar y cuestionar pautas y modelos de género que vienen dados.</w:t>
      </w:r>
    </w:p>
    <w:p w:rsidR="005B5CE3" w:rsidRDefault="00642485">
      <w:pPr>
        <w:pStyle w:val="Standard"/>
        <w:spacing w:before="120" w:after="120"/>
      </w:pPr>
      <w:r>
        <w:t>Las políticas de infancia y adolescencia deben ase</w:t>
      </w:r>
      <w:r>
        <w:t>gurar y promover un desarrollo igualitario entre niños y niñas, entre adolescentes varones y adolescentes mujeres. En la primera infancia, infancia y adolescencia, la internalización de pautas, modelos, roles y valoraciones son especialmente importantes ya</w:t>
      </w:r>
      <w:r>
        <w:t xml:space="preserve"> que matrizan y condicionan el desarrollo, por lo cual es fundamental que las políticas dirigidas a tales tramos etarios sean conscientes del contenido de género que acarrean y que avancen en modelos equitativos de acceso a los derechos y a los espacios de</w:t>
      </w:r>
      <w:r>
        <w:t xml:space="preserve"> poder y reconocimiento social.  </w:t>
      </w:r>
    </w:p>
    <w:p w:rsidR="005B5CE3" w:rsidRDefault="00642485">
      <w:pPr>
        <w:pStyle w:val="Standard"/>
        <w:spacing w:after="200"/>
      </w:pPr>
      <w:r>
        <w:lastRenderedPageBreak/>
        <w:t xml:space="preserve">Incorporar la perspectiva de la </w:t>
      </w:r>
      <w:r>
        <w:rPr>
          <w:b/>
          <w:i/>
        </w:rPr>
        <w:t xml:space="preserve">diversidad sexual </w:t>
      </w:r>
      <w:r>
        <w:t>en el diseño e implementación de las políticas públicas implica reconocer que la orientación sexual y la identidad de género de las personas condicionan en la actualidad el</w:t>
      </w:r>
      <w:r>
        <w:t xml:space="preserve"> acceso al bienestar, es decir, a la educación, empleo, salud, cultura, entre otros.</w:t>
      </w:r>
    </w:p>
    <w:p w:rsidR="005B5CE3" w:rsidRDefault="00642485">
      <w:pPr>
        <w:pStyle w:val="Standard"/>
        <w:spacing w:after="200"/>
      </w:pPr>
      <w:r>
        <w:t xml:space="preserve">Para avanzar hacia una sociedad inclusiva e igualitaria el Estado deberá repensar las políticas públicas hacia la infancia y la adolescencia y su visión heteronormativa. </w:t>
      </w:r>
      <w:r>
        <w:t>Para garantizar el goce efectivo de los derechos sexuales de los/as niños/as, la perspectiva de la diversidad sexual no puede ser desconocida.</w:t>
      </w:r>
    </w:p>
    <w:p w:rsidR="005B5CE3" w:rsidRDefault="00642485">
      <w:pPr>
        <w:pStyle w:val="Standard"/>
        <w:spacing w:after="200"/>
      </w:pPr>
      <w:r>
        <w:t>El diseño e implementación de políticas públicas que incorporen efectivamente la perspectiva de la diversidad se</w:t>
      </w:r>
      <w:r>
        <w:t>xual continúa siendo un desafío para las diversas instituciones que trabajan con niños, niñas, adolescentes y sus familias.</w:t>
      </w:r>
    </w:p>
    <w:p w:rsidR="005B5CE3" w:rsidRDefault="00642485">
      <w:pPr>
        <w:pStyle w:val="Standard"/>
        <w:spacing w:after="200"/>
      </w:pPr>
      <w:r>
        <w:t xml:space="preserve">La introducción de la </w:t>
      </w:r>
      <w:r>
        <w:rPr>
          <w:b/>
          <w:i/>
        </w:rPr>
        <w:t xml:space="preserve">perspectiva étnico-racial </w:t>
      </w:r>
      <w:r>
        <w:t>en las políticas públicas, es muy reciente en Uruguay. Las acciones afirmativas real</w:t>
      </w:r>
      <w:r>
        <w:t>izadas por el Ministerio de Desarrollo Social en conjunto con otros organismos, han sido pasos fundamentales hacia el reconocimiento de la discriminación y las desigualdades que esto provoca.</w:t>
      </w:r>
    </w:p>
    <w:p w:rsidR="005B5CE3" w:rsidRDefault="00642485">
      <w:pPr>
        <w:pStyle w:val="Standard"/>
        <w:spacing w:after="200"/>
      </w:pPr>
      <w:r>
        <w:t xml:space="preserve">Es fundamental para esto analizar colectivamente las </w:t>
      </w:r>
      <w:r>
        <w:t>implicancias del racismo, revisar la construcción histórica del mismo para así identificar las prácticas y avanzar hacia la superación de este problema social.</w:t>
      </w:r>
    </w:p>
    <w:p w:rsidR="005B5CE3" w:rsidRDefault="00642485">
      <w:pPr>
        <w:pStyle w:val="Standard"/>
        <w:spacing w:after="200"/>
      </w:pPr>
      <w:r>
        <w:rPr>
          <w:b/>
        </w:rPr>
        <w:t>4.2 Universalidad</w:t>
      </w:r>
    </w:p>
    <w:p w:rsidR="005B5CE3" w:rsidRDefault="00642485">
      <w:pPr>
        <w:pStyle w:val="Standard"/>
        <w:spacing w:after="200"/>
      </w:pPr>
      <w:r>
        <w:t>Desde las bases para la implementación de la ENIA se proponía el carácter uni</w:t>
      </w:r>
      <w:r>
        <w:t>versal de esta Estrategia, considerando que las acciones deben estar dirigidas a todos los niños y niñas. En el 2015, se reafirma la visión universal de las políticas de bienestar para la primera infancia, infancia y adolescencia. La visión universalista d</w:t>
      </w:r>
      <w:r>
        <w:t>ebe necesariamente complementarse de acciones focalizadas que den respuesta al combate a la pobreza multidimensional y a la superación de la vulneración de derechos. El horizonte debe estar puesto en dos sentidos simultáneos y complementarios, uno de promo</w:t>
      </w:r>
      <w:r>
        <w:t>ción de derechos y otro de restitución de los mismos.</w:t>
      </w:r>
    </w:p>
    <w:p w:rsidR="005B5CE3" w:rsidRDefault="00642485">
      <w:pPr>
        <w:pStyle w:val="Standard"/>
        <w:spacing w:after="200"/>
      </w:pPr>
      <w:r>
        <w:t>Un bienestar pensado para todos implica garantizar las condiciones materiales y simbólicas óptimas para que los niños, niñas y adolescentes tengan un desarrollo adecuado.</w:t>
      </w:r>
    </w:p>
    <w:p w:rsidR="005B5CE3" w:rsidRDefault="00642485">
      <w:pPr>
        <w:pStyle w:val="Standard"/>
        <w:spacing w:after="200"/>
      </w:pPr>
      <w:r>
        <w:lastRenderedPageBreak/>
        <w:t xml:space="preserve">En esta línea el plan parte </w:t>
      </w:r>
      <w:r>
        <w:t>de una orientación universalista, es decir, pensado para todos los niños, niñas y adolescentes del Uruguay identificando la necesidad de incorporar mecanismos focalizados para poblaciones específicas que requieren apoyos. Esta necesidad de proponer una mir</w:t>
      </w:r>
      <w:r>
        <w:t>ada universalista ya era planteada en la ENIA considerando que las acciones debían estar dirigidas a todos los niños y niñas.</w:t>
      </w:r>
    </w:p>
    <w:p w:rsidR="005B5CE3" w:rsidRDefault="00642485">
      <w:pPr>
        <w:pStyle w:val="Standard"/>
        <w:spacing w:after="200"/>
      </w:pPr>
      <w:r>
        <w:t>Si bien este plan plantea en forma explícita una vocación universalista y eso se plasma en gran parte de las acciones es posible i</w:t>
      </w:r>
      <w:r>
        <w:t>dentificar la necesidad de acciones focalizadas para niños, niñas y adolescentes que sus derechos son vulnerados. Tal como lo plantea CEPAL</w:t>
      </w:r>
      <w:r>
        <w:rPr>
          <w:i/>
        </w:rPr>
        <w:t xml:space="preserve"> “(...) una política universal que da acceso igualitario a todos los ciudadanos no implica proveer servicios uniforme</w:t>
      </w:r>
      <w:r>
        <w:rPr>
          <w:i/>
        </w:rPr>
        <w:t>s para una población heterogénea, sino adaptar dichos servicios para cubrir brechas diferenciadas y asegurar a todos el goce de los derechos. De esta manera, la orientación universalista no está reñida con la focalización, sino que la segunda está al servi</w:t>
      </w:r>
      <w:r>
        <w:rPr>
          <w:i/>
        </w:rPr>
        <w:t>cio de la primera, sobre la base del reconocimiento de las diferentes condiciones en que se encuentran las personas (por edad, sexo, etnia, nivel socioeconómico o situación laboral, entre otras)”.</w:t>
      </w:r>
      <w:r>
        <w:t xml:space="preserve"> (CEPAL, 2015:45)</w:t>
      </w:r>
    </w:p>
    <w:p w:rsidR="005B5CE3" w:rsidRDefault="00642485">
      <w:pPr>
        <w:pStyle w:val="Standard"/>
        <w:spacing w:after="200"/>
      </w:pPr>
      <w:r>
        <w:t xml:space="preserve">En los últimos 10 años el estado uruguayo </w:t>
      </w:r>
      <w:r>
        <w:t>se ha comprometido políticamente con la infancia y adolescencia y ese compromiso se ha traducido en una fuerte y permanente inversión presupuestal en pro del bienestar social.</w:t>
      </w:r>
    </w:p>
    <w:p w:rsidR="005B5CE3" w:rsidRDefault="00642485">
      <w:pPr>
        <w:pStyle w:val="Standard"/>
        <w:spacing w:after="200"/>
      </w:pPr>
      <w:r>
        <w:t xml:space="preserve">Las políticas de protección social para la infancia y adolescencia requieren de </w:t>
      </w:r>
      <w:r>
        <w:t>un modelo corresponsable que involucre al Estado, las familias y  el mercado; a partir del cual  cada uno desde su rol,contribuya en el desarrollo y bienestar de niños, niñas y adolescentes. Ello supone, además, la construcción de alianzas basadas en pacto</w:t>
      </w:r>
      <w:r>
        <w:t>s que tengan como horizonte la consecución de sociedades más justas e igualitarias. Según CEPAL</w:t>
      </w:r>
      <w:r>
        <w:rPr>
          <w:i/>
        </w:rPr>
        <w:t xml:space="preserve"> “Concertar un pacto significa alcanzar una convergencia de actores políticos y sociales mediante acuerdos sobre el conjunto de instituciones —normas y organismo</w:t>
      </w:r>
      <w:r>
        <w:rPr>
          <w:i/>
        </w:rPr>
        <w:t>s que aseguran su cumplimiento— y de políticas públicas necesarias para asegurar que esta nueva trayectoria sea efectiva y deliberada”</w:t>
      </w:r>
      <w:r>
        <w:t xml:space="preserve"> (CEPAL, 2015:369).</w:t>
      </w:r>
    </w:p>
    <w:p w:rsidR="005B5CE3" w:rsidRDefault="00642485">
      <w:pPr>
        <w:pStyle w:val="Standard"/>
        <w:spacing w:after="200"/>
      </w:pPr>
      <w:r>
        <w:t>En el caso de las políticas de infancia y adolescencia se presenta una particularidad ya que los niños</w:t>
      </w:r>
      <w:r>
        <w:t xml:space="preserve"> y adolescentes no tienen capacidad de influencia frente al Estado, es más, se encuentran en una situación clara de desventaja.</w:t>
      </w:r>
    </w:p>
    <w:p w:rsidR="005B5CE3" w:rsidRDefault="00642485">
      <w:pPr>
        <w:pStyle w:val="Standard"/>
        <w:spacing w:after="200"/>
      </w:pPr>
      <w:r>
        <w:t xml:space="preserve">El Estado, como actor clave que representa el bien común y los intereses de todos sus habitantes debe velar por los intereses, </w:t>
      </w:r>
      <w:r>
        <w:t xml:space="preserve"> desarrollo y bienestar de niños, niñas y </w:t>
      </w:r>
      <w:r>
        <w:lastRenderedPageBreak/>
        <w:t>adolescentes. Las familias también son actores que contribuyen en el bienestar social de niños, niñas y adolescentes y son espacios de protección, socialización, cuidado y crianza donde como sociedad se debe promov</w:t>
      </w:r>
      <w:r>
        <w:t>er y  garantizar la corresponsabilidad entre varones y mujeres.</w:t>
      </w:r>
    </w:p>
    <w:p w:rsidR="005B5CE3" w:rsidRDefault="00642485">
      <w:pPr>
        <w:pStyle w:val="Standard"/>
        <w:spacing w:after="200"/>
      </w:pPr>
      <w:r>
        <w:rPr>
          <w:b/>
        </w:rPr>
        <w:t>4. 3. Enfoques metodológicos</w:t>
      </w:r>
    </w:p>
    <w:p w:rsidR="005B5CE3" w:rsidRDefault="00642485">
      <w:pPr>
        <w:pStyle w:val="Standard"/>
        <w:spacing w:after="200"/>
      </w:pPr>
      <w:r>
        <w:rPr>
          <w:b/>
        </w:rPr>
        <w:t>a. La mirada de trayectorias de vida</w:t>
      </w:r>
    </w:p>
    <w:p w:rsidR="005B5CE3" w:rsidRDefault="00642485">
      <w:pPr>
        <w:pStyle w:val="Standard"/>
        <w:ind w:right="220"/>
      </w:pPr>
      <w:r>
        <w:t>El concepto de trayectoria de vida ocupa un lugar destacado en el Plan. Se parte del supuesto de que los sujetos transitan a</w:t>
      </w:r>
      <w:r>
        <w:t xml:space="preserve"> lo largo de su vida por diferentes etapas que en sí mismas tienen especificidades y que ese tránsito entre etapas debe ser lo más fluido posible. Esto implica partir de una visión integral e interinstitucional donde los horizontes temporales impliquen una</w:t>
      </w:r>
      <w:r>
        <w:t xml:space="preserve"> mirada de mediano y largo plazo.</w:t>
      </w:r>
    </w:p>
    <w:p w:rsidR="005B5CE3" w:rsidRDefault="005B5CE3">
      <w:pPr>
        <w:pStyle w:val="Standard"/>
        <w:ind w:right="220"/>
      </w:pPr>
    </w:p>
    <w:p w:rsidR="005B5CE3" w:rsidRDefault="00642485">
      <w:pPr>
        <w:pStyle w:val="Standard"/>
        <w:ind w:right="220"/>
      </w:pPr>
      <w:r>
        <w:t>La mirada de trayectoria de vida pone en tensión la actual institucionalidad, la que se organiza en base a sectores que se especializan en un campo de política y no en un ciclo de vida específico. De todas maneras paulat</w:t>
      </w:r>
      <w:r>
        <w:t>inamente se están generando cambios a la interna de las instituciones en busca de la integralidad de las intervenciones así como también en el diseño y la implementación de políticas que atraviesan los tres ciclos de vida.</w:t>
      </w:r>
    </w:p>
    <w:p w:rsidR="005B5CE3" w:rsidRDefault="005B5CE3">
      <w:pPr>
        <w:pStyle w:val="Standard"/>
      </w:pPr>
    </w:p>
    <w:p w:rsidR="005B5CE3" w:rsidRDefault="00642485">
      <w:pPr>
        <w:pStyle w:val="Standard"/>
        <w:spacing w:after="200"/>
      </w:pPr>
      <w:r>
        <w:rPr>
          <w:b/>
        </w:rPr>
        <w:t>b. El trabajo con las familias</w:t>
      </w:r>
    </w:p>
    <w:p w:rsidR="005B5CE3" w:rsidRDefault="00642485">
      <w:pPr>
        <w:pStyle w:val="Standard"/>
        <w:spacing w:after="200"/>
      </w:pPr>
      <w:r>
        <w:t>Este plan se propone como uno de sus ejes de metodológicos el trabajo con las familias, entendiendo que las acciones dirigidas para niños, niñas y adolescentes deben incorporar la dimensión del trabajo con los referentes adultos. En este sentido, las famil</w:t>
      </w:r>
      <w:r>
        <w:t>ias como sujeto de abordaje deben ser incluidas en todas las estrategias a desarrollar. Para esto es necesario abogar por la articulación interinstitucional para que se efectivice el acceso de las familias a la matriz de protección social de forma de garan</w:t>
      </w:r>
      <w:r>
        <w:t>tizar sus derechos.</w:t>
      </w:r>
    </w:p>
    <w:p w:rsidR="005B5CE3" w:rsidRDefault="00642485">
      <w:pPr>
        <w:pStyle w:val="Standard"/>
        <w:spacing w:after="200"/>
      </w:pPr>
      <w:r>
        <w:t>El apoyo a las familias es una dimensión planteada ya en las bases para la implementación de la ENIA. Este Plan suscribe a este enfoque y refuerza la necesidad de que las familias sean un eje fundamental a considerar a la hora de diseña</w:t>
      </w:r>
      <w:r>
        <w:t>r las intervenciones.</w:t>
      </w:r>
    </w:p>
    <w:p w:rsidR="005B5CE3" w:rsidRDefault="00642485">
      <w:pPr>
        <w:pStyle w:val="Standard"/>
        <w:spacing w:after="200"/>
      </w:pPr>
      <w:r>
        <w:t>Al hablar de familias el Plan reconoce explícitamente la diversidad de construcciones y de arreglos familiares, planteando la complejidad y diversidad que esta categoría implica.</w:t>
      </w:r>
    </w:p>
    <w:p w:rsidR="005B5CE3" w:rsidRDefault="00642485">
      <w:pPr>
        <w:pStyle w:val="Standard"/>
        <w:spacing w:after="200"/>
      </w:pPr>
      <w:r>
        <w:lastRenderedPageBreak/>
        <w:t>Históricamente, las familias han cumplido un rol clave</w:t>
      </w:r>
      <w:r>
        <w:t xml:space="preserve"> para las tareas de socialización. Las dimensiones de cuidado, crianza y protección surgen de forma ineludible al conceptualizarlas.</w:t>
      </w:r>
    </w:p>
    <w:p w:rsidR="005B5CE3" w:rsidRDefault="00642485">
      <w:pPr>
        <w:pStyle w:val="Standard"/>
        <w:spacing w:after="200"/>
      </w:pPr>
      <w:r>
        <w:t>Asimismo, las familias se configuran como un espacio de acción, influencia y control en donde se asignan roles y obligacio</w:t>
      </w:r>
      <w:r>
        <w:t>nes diferenciadas según el sexo de sus integrantes.  Se entiende necesario en este sentido, que la planificación de políticas dirigidas a la primera infancia, infancia y adolescencia desde el Estado procuren incidir en la transformación de la tradicional d</w:t>
      </w:r>
      <w:r>
        <w:t>ivisión sexual del trabajo con el objetivo de fomentar la corresponsabilidad de varones y mujeres al interior del núcleo familiar.</w:t>
      </w:r>
    </w:p>
    <w:p w:rsidR="005B5CE3" w:rsidRDefault="00642485">
      <w:pPr>
        <w:pStyle w:val="Standard"/>
        <w:spacing w:after="200"/>
      </w:pPr>
      <w:r>
        <w:rPr>
          <w:b/>
        </w:rPr>
        <w:t>c. Comunidad y territorio</w:t>
      </w:r>
    </w:p>
    <w:p w:rsidR="005B5CE3" w:rsidRDefault="00642485">
      <w:pPr>
        <w:pStyle w:val="Standard"/>
        <w:spacing w:after="200"/>
      </w:pPr>
      <w:r>
        <w:t>La elaboración del Plan de acción incorpora la dimensión territorial para el diseño y análisis de l</w:t>
      </w:r>
      <w:r>
        <w:t>as políticas para dar cuenta de las especificidades geográficas y sociales que se expresan a nivel territorial. Es en el territorio donde las políticas adquieren materialidad y una especificidad propia del contexto.  La territorialidad es ineludible ya que</w:t>
      </w:r>
      <w:r>
        <w:t xml:space="preserve"> toda política tiene como ámbito de aplicación un territorio dado entendido como espacio propio de producción y de resignificación de una política central. El desafío para esta planificación estratégica consiste en que los territorios en sus diferentes niv</w:t>
      </w:r>
      <w:r>
        <w:t>eles departamentales, municipales y locales tengan la capacidad de producción y resignificación de las políticas centrales. Es en estos niveles donde cobra especial jerarquía el proceso de articulación institucional traducido en la elaboración de la identi</w:t>
      </w:r>
      <w:r>
        <w:t>ficación de vacíos de espacios de coordinación, de prestaciones, de recursos humanos, de infraestructura, entre otros.</w:t>
      </w:r>
    </w:p>
    <w:p w:rsidR="005B5CE3" w:rsidRDefault="00642485">
      <w:pPr>
        <w:pStyle w:val="Standard"/>
        <w:spacing w:after="200"/>
      </w:pPr>
      <w:r>
        <w:t>El territorio, como espacio de producción de agenda, de decisión y coordinación, es una ámbito de construcción y fortalecimiento de rede</w:t>
      </w:r>
      <w:r>
        <w:t>s de protección social para la infancia y la adolescencia. La estrategia consiste en implementar la política de descentralización impulsada desde el Gobierno en un diálogo permanente entre el nivel central y territorial. El Plan incorpora demandas y propue</w:t>
      </w:r>
      <w:r>
        <w:t>stas con anclaje local que dialogan con las planificaciones centrales.</w:t>
      </w:r>
    </w:p>
    <w:p w:rsidR="005B5CE3" w:rsidRDefault="00642485">
      <w:pPr>
        <w:pStyle w:val="Standard"/>
        <w:spacing w:after="200"/>
      </w:pPr>
      <w:r>
        <w:t xml:space="preserve"> </w:t>
      </w:r>
      <w:r>
        <w:rPr>
          <w:b/>
        </w:rPr>
        <w:t>d. La articulación, coordinación y complementariedad</w:t>
      </w:r>
    </w:p>
    <w:p w:rsidR="005B5CE3" w:rsidRDefault="00642485">
      <w:pPr>
        <w:pStyle w:val="Standard"/>
        <w:spacing w:after="200"/>
      </w:pPr>
      <w:r>
        <w:t>El diseño de la matriz de protección social en el Uruguay se estructura por sectoriales especializadas en garantizar derechos espe</w:t>
      </w:r>
      <w:r>
        <w:t>cíficos, como ser salud, educación, seguridad social, vivienda, deporte, entre otros.</w:t>
      </w:r>
    </w:p>
    <w:p w:rsidR="005B5CE3" w:rsidRDefault="00642485">
      <w:pPr>
        <w:pStyle w:val="Standard"/>
        <w:spacing w:after="200"/>
      </w:pPr>
      <w:r>
        <w:lastRenderedPageBreak/>
        <w:t>Uno de los desafíos para este quinquenio es continuar fortaleciendo la articulación entre las sectoriales con foco en el sujeto más allá del entramado institucional. Esto</w:t>
      </w:r>
      <w:r>
        <w:t xml:space="preserve"> supone colocar al sujeto como eje central que tensiona la sectorialidad exigiendo el diálogo y la articulación y entender que la resolución de problemas son multicausales. Por lo tanto desde la lógica de la complementariedad institucional las intervencion</w:t>
      </w:r>
      <w:r>
        <w:t>es serán  más eficaces y eficientes.</w:t>
      </w:r>
    </w:p>
    <w:p w:rsidR="005B5CE3" w:rsidRDefault="00642485">
      <w:pPr>
        <w:pStyle w:val="Standard"/>
        <w:spacing w:after="200"/>
      </w:pPr>
      <w:r>
        <w:rPr>
          <w:b/>
        </w:rPr>
        <w:t>5</w:t>
      </w:r>
      <w:r>
        <w:rPr>
          <w:b/>
        </w:rPr>
        <w:t>. Acciones del Plan Nacional de primera infancia, infancia y adolescencia</w:t>
      </w:r>
    </w:p>
    <w:p w:rsidR="005B5CE3" w:rsidRDefault="00642485">
      <w:pPr>
        <w:pStyle w:val="Standard"/>
        <w:spacing w:after="200"/>
      </w:pPr>
      <w:r>
        <w:t xml:space="preserve">El plan se basa en la revisión y actualización de lo planteado por la ENIA en el documento Bases para su implementacion del año 2008. En estos </w:t>
      </w:r>
      <w:r>
        <w:t>años de trabajo, se ha avanzado en diferentes áreas de política como los son la salud, educación, protección integral, cuidados, entre otros,  sin dejar de reconocer que aún persisten brechas que son desarrolladas en el capítulo 2 del presente plan.</w:t>
      </w:r>
    </w:p>
    <w:p w:rsidR="005B5CE3" w:rsidRDefault="00642485">
      <w:pPr>
        <w:pStyle w:val="Standard"/>
        <w:spacing w:after="200"/>
      </w:pPr>
      <w:r>
        <w:t>Si bie</w:t>
      </w:r>
      <w:r>
        <w:t>n algunos de los lineamientos estratégicos planteados en el Plan de Acción de la ENIA del 2009, aún se mantienen, han cambiado sus énfasis y en otros casos aparecen nuevos desafíos priorizados por la Comisión para este período. Esta priorización se basó en</w:t>
      </w:r>
      <w:r>
        <w:t xml:space="preserve"> la evidencia de los estudios producidos en el período anterior, así como en el proceso actual de discusión de la comisión.</w:t>
      </w:r>
    </w:p>
    <w:p w:rsidR="005B5CE3" w:rsidRDefault="00642485">
      <w:pPr>
        <w:pStyle w:val="Standard"/>
        <w:spacing w:after="200"/>
      </w:pPr>
      <w:r>
        <w:t>La ENIA en sus bases para la su implementación planteaba nueve lineamientos estratégicos</w:t>
      </w:r>
      <w:r>
        <w:rPr>
          <w:rStyle w:val="Refdenotaalpie"/>
        </w:rPr>
        <w:footnoteReference w:id="11"/>
      </w:r>
      <w:r>
        <w:t xml:space="preserve"> que son definidos en su Plan de Acción 2010-2015. En ese p</w:t>
      </w:r>
      <w:r>
        <w:t>eríodo se han desarrollaron acciones desde los diversas sectoriales así como también surgieron otras iniciativas que complementaron y  favorecieron el cumplimiento de lo planteado por el Plan de la ENIA. En tal sentido, en el año 2014 desde el Consejo Naci</w:t>
      </w:r>
      <w:r>
        <w:t>onal de Políticas Sociales se realizó una evaluación que nos permite contar con evidencia para proponer un rumbo acorde a este período</w:t>
      </w:r>
      <w:r>
        <w:rPr>
          <w:rStyle w:val="Refdenotaalpie"/>
        </w:rPr>
        <w:footnoteReference w:id="12"/>
      </w:r>
      <w:r>
        <w:t>.</w:t>
      </w:r>
    </w:p>
    <w:p w:rsidR="005B5CE3" w:rsidRDefault="00642485">
      <w:pPr>
        <w:pStyle w:val="Standard"/>
        <w:ind w:right="220"/>
      </w:pPr>
      <w:r>
        <w:rPr>
          <w:b/>
        </w:rPr>
        <w:t>5</w:t>
      </w:r>
      <w:r>
        <w:rPr>
          <w:b/>
        </w:rPr>
        <w:t xml:space="preserve">.1 </w:t>
      </w:r>
      <w:r>
        <w:rPr>
          <w:b/>
        </w:rPr>
        <w:t>Descripción</w:t>
      </w:r>
      <w:r>
        <w:rPr>
          <w:b/>
        </w:rPr>
        <w:t xml:space="preserve"> de los lineamientos estratégicos del</w:t>
      </w:r>
      <w:r>
        <w:rPr>
          <w:b/>
        </w:rPr>
        <w:t xml:space="preserve"> Plan</w:t>
      </w:r>
    </w:p>
    <w:p w:rsidR="005B5CE3" w:rsidRDefault="005B5CE3">
      <w:pPr>
        <w:pStyle w:val="Standard"/>
        <w:ind w:right="220"/>
      </w:pPr>
    </w:p>
    <w:p w:rsidR="005B5CE3" w:rsidRDefault="00642485">
      <w:pPr>
        <w:pStyle w:val="Standard"/>
        <w:ind w:right="220"/>
      </w:pPr>
      <w:r>
        <w:lastRenderedPageBreak/>
        <w:t xml:space="preserve">El Plan de Primera Infancia, Infancia y Adolescencia fue diseñado desde la perspectiva de los derechos de niños, niñas y adolescentes, en base a ese marco se definen </w:t>
      </w:r>
      <w:r>
        <w:t>6</w:t>
      </w:r>
      <w:r>
        <w:t xml:space="preserve"> lineamientos estratégicos que pretenden abarcar y asegurar el ejercicio de los </w:t>
      </w:r>
      <w:r>
        <w:t>derechos fundamentales.</w:t>
      </w:r>
    </w:p>
    <w:p w:rsidR="005B5CE3" w:rsidRDefault="005B5CE3">
      <w:pPr>
        <w:pStyle w:val="Standard"/>
        <w:ind w:right="220"/>
      </w:pPr>
    </w:p>
    <w:p w:rsidR="005B5CE3" w:rsidRDefault="00642485">
      <w:pPr>
        <w:pStyle w:val="Standard"/>
        <w:ind w:right="220"/>
      </w:pPr>
      <w:r>
        <w:t>C</w:t>
      </w:r>
      <w:r>
        <w:t>ada lineamiento es formulado desde una perspectiva de promoción de derechos, y expresa un posicionamiento sobre determinado tema como ser, el derecho a la salud, a la educación, a una vida sin violencia, al desarrollo integral, a</w:t>
      </w:r>
      <w:r>
        <w:t xml:space="preserve"> la participación,  la circulación social y el acceso a bienes culturales y artísticos y el acceso a la justicia.</w:t>
      </w:r>
    </w:p>
    <w:p w:rsidR="005B5CE3" w:rsidRDefault="005B5CE3">
      <w:pPr>
        <w:pStyle w:val="Standard"/>
        <w:ind w:right="220"/>
      </w:pPr>
    </w:p>
    <w:p w:rsidR="005B5CE3" w:rsidRDefault="00642485">
      <w:pPr>
        <w:pStyle w:val="Standard"/>
        <w:ind w:right="220"/>
      </w:pPr>
      <w:r>
        <w:t>Los lineamientos estratégicos, a su vez, orientan las acciones e implican la dirección hacia un objetivo. Es así que para cada uno de los cic</w:t>
      </w:r>
      <w:r>
        <w:t>los de vida se definieron los siguientes  lineamientos estratégicos.</w:t>
      </w:r>
    </w:p>
    <w:p w:rsidR="005B5CE3" w:rsidRDefault="005B5CE3">
      <w:pPr>
        <w:pStyle w:val="Standard"/>
        <w:ind w:right="220"/>
      </w:pPr>
    </w:p>
    <w:p w:rsidR="005B5CE3" w:rsidRDefault="00642485">
      <w:pPr>
        <w:pStyle w:val="Standard"/>
        <w:ind w:right="220"/>
      </w:pPr>
      <w:r>
        <w:t>Como ya se mencionó la formulación de los lineamientos para este quinquenio toman como antecedente a los formulados por la ENIA. Asimismo tiene como referencia ineludible las conclusione</w:t>
      </w:r>
      <w:r>
        <w:t xml:space="preserve">s a las que arriba el mencionado  informe de avance del Plan de Acción de la ENIA realizado por el Consejo Nacional de Políticas Sociales.  </w:t>
      </w:r>
    </w:p>
    <w:p w:rsidR="005B5CE3" w:rsidRDefault="005B5CE3">
      <w:pPr>
        <w:pStyle w:val="Standard"/>
        <w:ind w:right="220"/>
      </w:pPr>
    </w:p>
    <w:p w:rsidR="005B5CE3" w:rsidRDefault="00642485">
      <w:pPr>
        <w:pStyle w:val="Standard"/>
        <w:ind w:right="220"/>
      </w:pPr>
      <w:r>
        <w:rPr>
          <w:b/>
        </w:rPr>
        <w:t>a. Asegurar el desarrollo integral mediante la promoción, prevención, tratamiento, rehabilitación en salud</w:t>
      </w:r>
    </w:p>
    <w:p w:rsidR="005B5CE3" w:rsidRDefault="005B5CE3">
      <w:pPr>
        <w:pStyle w:val="Standard"/>
        <w:ind w:right="220"/>
      </w:pPr>
    </w:p>
    <w:p w:rsidR="005B5CE3" w:rsidRDefault="00642485">
      <w:pPr>
        <w:pStyle w:val="Standard"/>
        <w:ind w:right="220"/>
      </w:pPr>
      <w:r>
        <w:t>Los pr</w:t>
      </w:r>
      <w:r>
        <w:t>incipales ejes priorizados para este lineamiento estratégico fueron identificados en base a la definición de lo Objetivos Sanitarios Nacionales (OSN) por parte del Ministerio de Salud Pública (MSP) para el período 2015-2019, dichos objetivos buscan impacta</w:t>
      </w:r>
      <w:r>
        <w:t>r sobre los principales problemas críticos identificados desde un enfoque de derechos, tomando en cuenta los diferenciales relacionados con género y generaciones.</w:t>
      </w:r>
    </w:p>
    <w:p w:rsidR="005B5CE3" w:rsidRDefault="005B5CE3">
      <w:pPr>
        <w:pStyle w:val="Standard"/>
        <w:ind w:right="220"/>
      </w:pPr>
    </w:p>
    <w:p w:rsidR="005B5CE3" w:rsidRDefault="00642485">
      <w:pPr>
        <w:pStyle w:val="Standard"/>
        <w:ind w:right="220"/>
      </w:pPr>
      <w:r>
        <w:t>Los criterios adoptados por el MSP para la identificación de los problemas sanitarios a pri</w:t>
      </w:r>
      <w:r>
        <w:t>orizar se sustentan en: la valoración de la magnitud de la problemática, su relevancia, las áreas de intervención planteadas por el plan de gobierno y los compromisos internacionales asumidos por el país. A partir de este proceso de análisis se definió una</w:t>
      </w:r>
      <w:r>
        <w:t xml:space="preserve"> nómina de problemas críticos que a grandes rasgos referencian los principales ejes a abordar en este período de gobierno.</w:t>
      </w:r>
    </w:p>
    <w:p w:rsidR="005B5CE3" w:rsidRDefault="005B5CE3">
      <w:pPr>
        <w:pStyle w:val="Standard"/>
        <w:ind w:right="220"/>
      </w:pPr>
    </w:p>
    <w:p w:rsidR="005B5CE3" w:rsidRDefault="00642485">
      <w:pPr>
        <w:pStyle w:val="Standard"/>
        <w:ind w:right="220"/>
      </w:pPr>
      <w:r>
        <w:lastRenderedPageBreak/>
        <w:t xml:space="preserve">En lo que refiere a </w:t>
      </w:r>
      <w:r>
        <w:t>Primera Infancia,</w:t>
      </w:r>
      <w:r>
        <w:t xml:space="preserve"> Infancia y Adolescencia los principales ejes a ser abordados son: transmisión vertical de síf</w:t>
      </w:r>
      <w:r>
        <w:t>ilis y VIH; elevado índice de cesáreas; prematurez y bajo peso al nacer; problemas nutricionales críticos en la primera infancia; alteraciones en el desarrollo en primera infancia; consumo problemático de alcohol y sustancias psicoactivas; violencia de gén</w:t>
      </w:r>
      <w:r>
        <w:t>ero y generaciones; lesiones y muertes por siniestralidad vial; incidencia de suicidio y problemas vinculados a la salud mental.</w:t>
      </w:r>
    </w:p>
    <w:p w:rsidR="005B5CE3" w:rsidRDefault="00642485">
      <w:pPr>
        <w:pStyle w:val="Standard"/>
        <w:spacing w:before="100"/>
        <w:ind w:right="220"/>
      </w:pPr>
      <w:r>
        <w:rPr>
          <w:b/>
        </w:rPr>
        <w:t>b. Garantizar trayectorias educativas continuas para el desarrollo e inclusión social</w:t>
      </w:r>
    </w:p>
    <w:p w:rsidR="005B5CE3" w:rsidRDefault="005B5CE3">
      <w:pPr>
        <w:pStyle w:val="Standard"/>
        <w:spacing w:before="100"/>
        <w:ind w:right="220"/>
      </w:pPr>
    </w:p>
    <w:p w:rsidR="005B5CE3" w:rsidRDefault="00642485">
      <w:pPr>
        <w:pStyle w:val="Standard"/>
        <w:spacing w:before="100"/>
        <w:ind w:right="220"/>
      </w:pPr>
      <w:r>
        <w:t>El segundo lineamiento se sustenta en la</w:t>
      </w:r>
      <w:r>
        <w:t>s distintas estrategias a desarrollar en el quinquenio con el objetivo de garantizar trayectorias educativas completas y continuas.</w:t>
      </w:r>
    </w:p>
    <w:p w:rsidR="005B5CE3" w:rsidRDefault="005B5CE3">
      <w:pPr>
        <w:pStyle w:val="Standard"/>
        <w:ind w:right="220"/>
      </w:pPr>
    </w:p>
    <w:p w:rsidR="005B5CE3" w:rsidRDefault="00642485">
      <w:pPr>
        <w:pStyle w:val="Standard"/>
        <w:ind w:right="220"/>
      </w:pPr>
      <w:r>
        <w:t xml:space="preserve">Aquí los ejes principales que atraviesan todos los ciclos de vida son el fortalecimiento de las trayectorias educativas a </w:t>
      </w:r>
      <w:r>
        <w:t>través de la ampliación y diversificación de la oferta educativa en enseñanza media. La necesidad de fortalecer los tránsito entre ciclos, entre educación inicial y primaria, entre educación primaria y educación media básica, entre media básica y media sup</w:t>
      </w:r>
      <w:r>
        <w:t>erior y media superior y el ciclo universitario. Avanzar hacia la unificación y el fortalecimiento de un sistema de becas para contribuir al sostenimiento educativo.</w:t>
      </w:r>
    </w:p>
    <w:p w:rsidR="005B5CE3" w:rsidRDefault="005B5CE3">
      <w:pPr>
        <w:pStyle w:val="Standard"/>
        <w:ind w:right="220"/>
      </w:pPr>
    </w:p>
    <w:p w:rsidR="005B5CE3" w:rsidRDefault="00642485">
      <w:pPr>
        <w:pStyle w:val="Standard"/>
        <w:ind w:right="220"/>
      </w:pPr>
      <w:r>
        <w:t>Una de las fuertes apuesta en el ciclo de vida en primera infancia consiste en la univers</w:t>
      </w:r>
      <w:r>
        <w:t>alización de la oferta en 3 años y la ampliación y diversificación en el tramo de 0 a 2 años. Ambas son acciones impulsadas en el marco del Sistema Nacional Integrado de Cuidados.</w:t>
      </w:r>
    </w:p>
    <w:p w:rsidR="005B5CE3" w:rsidRDefault="005B5CE3">
      <w:pPr>
        <w:pStyle w:val="Standard"/>
        <w:ind w:right="220"/>
      </w:pPr>
    </w:p>
    <w:p w:rsidR="005B5CE3" w:rsidRDefault="00642485">
      <w:pPr>
        <w:pStyle w:val="Standard"/>
        <w:ind w:right="220"/>
      </w:pPr>
      <w:r>
        <w:t>Otro aspecto a tener presente en este lineamiento refiere a las políticas d</w:t>
      </w:r>
      <w:r>
        <w:t xml:space="preserve">e educación no formal y su vasta experiencia en articular políticas sociales </w:t>
      </w:r>
      <w:r>
        <w:t xml:space="preserve">y </w:t>
      </w:r>
      <w:r>
        <w:t>educativas con el horizonte de la inclusión social.</w:t>
      </w:r>
    </w:p>
    <w:p w:rsidR="005B5CE3" w:rsidRDefault="005B5CE3">
      <w:pPr>
        <w:pStyle w:val="Standard"/>
        <w:spacing w:before="100"/>
        <w:ind w:right="220"/>
      </w:pPr>
    </w:p>
    <w:p w:rsidR="005B5CE3" w:rsidRDefault="00642485">
      <w:pPr>
        <w:pStyle w:val="Standard"/>
        <w:spacing w:before="100"/>
        <w:ind w:right="220"/>
      </w:pPr>
      <w:r>
        <w:rPr>
          <w:b/>
        </w:rPr>
        <w:t>c. Prevención, detección, atención a las diferentes tipos de violencia</w:t>
      </w:r>
    </w:p>
    <w:p w:rsidR="005B5CE3" w:rsidRDefault="005B5CE3">
      <w:pPr>
        <w:pStyle w:val="Standard"/>
        <w:ind w:right="220"/>
      </w:pPr>
    </w:p>
    <w:p w:rsidR="005B5CE3" w:rsidRDefault="00642485">
      <w:pPr>
        <w:pStyle w:val="Standard"/>
        <w:ind w:right="220"/>
      </w:pPr>
      <w:r>
        <w:t xml:space="preserve">El tercer lineamiento integra las líneas de trabajo </w:t>
      </w:r>
      <w:r>
        <w:t xml:space="preserve">en torno al fortalecimiento de los mecanismos para la prevención, detección precoz, atención, protección y reparación a los diferentes tipos de violencia basada en género y generaciones. Nuclea las acciones en </w:t>
      </w:r>
      <w:r>
        <w:lastRenderedPageBreak/>
        <w:t>torno al abordaje integral de los diversos tip</w:t>
      </w:r>
      <w:r>
        <w:t>os de violencia: bullying, maltrato, violencia intrafamiliar, abuso sexual, explotación sexual y/o trata.</w:t>
      </w:r>
    </w:p>
    <w:p w:rsidR="005B5CE3" w:rsidRDefault="005B5CE3">
      <w:pPr>
        <w:pStyle w:val="Standard"/>
        <w:ind w:right="220"/>
      </w:pPr>
    </w:p>
    <w:p w:rsidR="005B5CE3" w:rsidRDefault="00642485">
      <w:pPr>
        <w:pStyle w:val="Standard"/>
        <w:ind w:right="220"/>
      </w:pPr>
      <w:r>
        <w:t>En este sentido, aparecen como líneas fundamentales para todos los ciclos de vida la capacitación y sensibilización en las temáticas de maltrato, vi</w:t>
      </w:r>
      <w:r>
        <w:t>olencia intrafamiliar y abuso sexual; la necesidad de fortalecer la aplicación del protocolo de detección y primeras acciones en maltrato y abuso y de generar reglamentación vinculante para que se aplique el protocolo de</w:t>
      </w:r>
    </w:p>
    <w:p w:rsidR="005B5CE3" w:rsidRDefault="00642485">
      <w:pPr>
        <w:pStyle w:val="Standard"/>
        <w:ind w:right="220"/>
      </w:pPr>
      <w:r>
        <w:t>maltrato.</w:t>
      </w:r>
    </w:p>
    <w:p w:rsidR="005B5CE3" w:rsidRDefault="005B5CE3">
      <w:pPr>
        <w:pStyle w:val="Standard"/>
        <w:ind w:right="220"/>
      </w:pPr>
    </w:p>
    <w:p w:rsidR="005B5CE3" w:rsidRDefault="00642485">
      <w:pPr>
        <w:pStyle w:val="Standard"/>
        <w:ind w:right="220"/>
      </w:pPr>
      <w:r>
        <w:t>Asimismo, busca fortale</w:t>
      </w:r>
      <w:r>
        <w:t>cer los mecanismos de denuncia de las situaciones de maltrato, abuso y violencia y mejorar los dispositivos de atención en las situaciones de violencia que viven los niños, niñas y adolescentes, tanto en el ámbito familiar como en el institucional. Se impl</w:t>
      </w:r>
      <w:r>
        <w:t>ementará el Plan “100 acciones acordadas para la erradicación de la explotación sexual y comercial”, “II Plan Nacional SIPIAV”, se crean 5 dispositivos específicos de proximidad y un mapa de ruta para la para la prevención, detección precoz, atención, prot</w:t>
      </w:r>
      <w:r>
        <w:t>ección y reparación.</w:t>
      </w:r>
    </w:p>
    <w:p w:rsidR="005B5CE3" w:rsidRDefault="005B5CE3">
      <w:pPr>
        <w:pStyle w:val="Standard"/>
        <w:ind w:right="220"/>
      </w:pPr>
    </w:p>
    <w:p w:rsidR="005B5CE3" w:rsidRDefault="00642485">
      <w:pPr>
        <w:pStyle w:val="Standard"/>
        <w:ind w:right="220"/>
      </w:pPr>
      <w:r>
        <w:rPr>
          <w:b/>
        </w:rPr>
        <w:t>d. Disminuir situaciones de especial vulnerabilidad, calle, trabajo infantil, conflicto con la ley penal, institucionalización por falta de protección familiar.</w:t>
      </w:r>
    </w:p>
    <w:p w:rsidR="005B5CE3" w:rsidRDefault="005B5CE3">
      <w:pPr>
        <w:pStyle w:val="Standard"/>
        <w:spacing w:before="100"/>
        <w:ind w:right="220"/>
      </w:pPr>
    </w:p>
    <w:p w:rsidR="005B5CE3" w:rsidRDefault="00642485">
      <w:pPr>
        <w:pStyle w:val="Standard"/>
        <w:spacing w:before="100"/>
        <w:ind w:right="220"/>
      </w:pPr>
      <w:r>
        <w:t xml:space="preserve">Este lineamiento estratégico pretende orientar acciones específicas en </w:t>
      </w:r>
      <w:r>
        <w:t>aquellas situaciones de extrema vulnerabilidad como ser las situaciones de calle, trabajo infantil, conflicto con la ley penal e institucionalización por falta de protección familiar. Pretende revisar y fortalecer los dispositivos especializados de atenció</w:t>
      </w:r>
      <w:r>
        <w:t>n, así como mejorar su vínculo con las políticas sectoriales universales. Asimismo, busca poner el foco en los procesos y dispositivos de egreso de los diversos programas especializados.</w:t>
      </w:r>
    </w:p>
    <w:p w:rsidR="005B5CE3" w:rsidRDefault="00642485">
      <w:pPr>
        <w:pStyle w:val="Standard"/>
        <w:spacing w:before="100"/>
        <w:ind w:right="220"/>
      </w:pPr>
      <w:r>
        <w:t>Una de las líneas fundamentales consiste en el cambio de modelo de at</w:t>
      </w:r>
      <w:r>
        <w:t>ención propuesto por el INAU para los casos de niños, niñas y adolescentes que requieren una atención permanente en la institución.  La idea es apostar a un modelo de desinternación en base a la promoción y profundización de modelos de protección no reside</w:t>
      </w:r>
      <w:r>
        <w:t xml:space="preserve">nciales, y a desarrollar un eficiente sistema de apoyo y seguimiento a las familias. Para ello se crean Centros de Acogimiento y Fortalecimiento Familiar (CAFF) y los Centros residenciales se convierten en </w:t>
      </w:r>
      <w:r>
        <w:lastRenderedPageBreak/>
        <w:t>CAFF. Asimismo se fomentan las familias de acogimi</w:t>
      </w:r>
      <w:r>
        <w:t>ento, y  se crean figuras de acompañantes domiciliarios para cuidados parentales.</w:t>
      </w:r>
    </w:p>
    <w:p w:rsidR="005B5CE3" w:rsidRDefault="00642485">
      <w:pPr>
        <w:pStyle w:val="Standard"/>
        <w:spacing w:before="100"/>
        <w:ind w:right="220"/>
      </w:pPr>
      <w:r>
        <w:t>Otra de las líneas centrales refiere a los adolescentes privados de libertad. Los cambios propuestos refieren a la flexibilización de las medidas privativas de libertad y fo</w:t>
      </w:r>
      <w:r>
        <w:t xml:space="preserve">rtalecer las estrategias interinstitucionales del egreso de adolescentes y jóvenes privados de libertad.  </w:t>
      </w:r>
    </w:p>
    <w:p w:rsidR="005B5CE3" w:rsidRDefault="005B5CE3">
      <w:pPr>
        <w:pStyle w:val="Standard"/>
        <w:spacing w:before="100"/>
        <w:ind w:right="220"/>
      </w:pPr>
    </w:p>
    <w:p w:rsidR="005B5CE3" w:rsidRDefault="00642485">
      <w:pPr>
        <w:pStyle w:val="Standard"/>
        <w:spacing w:before="100"/>
        <w:ind w:right="220"/>
      </w:pPr>
      <w:r>
        <w:rPr>
          <w:b/>
        </w:rPr>
        <w:t>e. Promover la participación y el ejercicio del derecho a la ciudad y el acceso y uso de bienes culturales</w:t>
      </w:r>
    </w:p>
    <w:p w:rsidR="005B5CE3" w:rsidRDefault="005B5CE3">
      <w:pPr>
        <w:pStyle w:val="Standard"/>
        <w:ind w:right="220"/>
      </w:pPr>
    </w:p>
    <w:p w:rsidR="005B5CE3" w:rsidRDefault="00642485">
      <w:pPr>
        <w:pStyle w:val="Standard"/>
        <w:ind w:right="220"/>
      </w:pPr>
      <w:r>
        <w:t>Este lineamiento pretende nuclear el des</w:t>
      </w:r>
      <w:r>
        <w:t>arrollo de acciones en torno al ejercicio del derecho a la participación, al disfrute de los espacios públicos, a la circulación ciudadana y al acceso a bienes artísticos y culturales. Pone el foco en las propuestas para el uso del tiempo libre como ser la</w:t>
      </w:r>
      <w:r>
        <w:t xml:space="preserve"> recreación y el deporte, y en la generación de espacios de participación individual y comunitaria. Implica el desarrollo de actividades específicas así como el fortalecimiento de la coordinación intersectorial para un mayor aprovechamiento de las propuest</w:t>
      </w:r>
      <w:r>
        <w:t>as y recursos ya existentes.</w:t>
      </w:r>
    </w:p>
    <w:p w:rsidR="005B5CE3" w:rsidRDefault="005B5CE3">
      <w:pPr>
        <w:pStyle w:val="Standard"/>
        <w:ind w:right="220"/>
      </w:pPr>
    </w:p>
    <w:p w:rsidR="005B5CE3" w:rsidRDefault="00642485">
      <w:pPr>
        <w:pStyle w:val="Standard"/>
        <w:ind w:right="220"/>
      </w:pPr>
      <w:r>
        <w:rPr>
          <w:b/>
        </w:rPr>
        <w:t>f. Acceso a la justicia</w:t>
      </w:r>
    </w:p>
    <w:p w:rsidR="005B5CE3" w:rsidRDefault="005B5CE3">
      <w:pPr>
        <w:pStyle w:val="Standard"/>
        <w:ind w:right="220"/>
      </w:pPr>
    </w:p>
    <w:p w:rsidR="005B5CE3" w:rsidRDefault="00642485">
      <w:pPr>
        <w:pStyle w:val="Standard"/>
        <w:ind w:right="220"/>
      </w:pPr>
      <w:r>
        <w:t>Este lineamiento se incorpora a partir de los aportes de los actores de sociedad civil organizados que fueron consultados en el proceso de elaboración del plan, existiendo acuerdo entre las institucion</w:t>
      </w:r>
      <w:r>
        <w:t>es integrantes de la Comisión de primera infancia, infancia y adolescencia en la necesidad de hacer visible este tema.</w:t>
      </w:r>
    </w:p>
    <w:p w:rsidR="005B5CE3" w:rsidRDefault="005B5CE3">
      <w:pPr>
        <w:pStyle w:val="Standard"/>
        <w:ind w:right="220"/>
      </w:pPr>
    </w:p>
    <w:p w:rsidR="005B5CE3" w:rsidRDefault="00642485">
      <w:pPr>
        <w:pStyle w:val="Standard"/>
        <w:ind w:right="220"/>
      </w:pPr>
      <w:r>
        <w:t xml:space="preserve">En este sentido, existe la necesidad de revisar y reforzar los procedimientos judiciales de las diversas materias en conjunto con las </w:t>
      </w:r>
      <w:r>
        <w:t>diversas instituciones estatales, y desde la necesidad de generar los mejores procesos de niños, niñas y adolescentes en su pasaje por el sistema judicial.</w:t>
      </w:r>
    </w:p>
    <w:p w:rsidR="005B5CE3" w:rsidRDefault="005B5CE3">
      <w:pPr>
        <w:pStyle w:val="Standard"/>
        <w:ind w:right="220"/>
      </w:pPr>
    </w:p>
    <w:p w:rsidR="005B5CE3" w:rsidRDefault="00642485">
      <w:pPr>
        <w:pStyle w:val="Standard"/>
        <w:ind w:right="220"/>
      </w:pPr>
      <w:r>
        <w:t>Al ser un lineamiento que se incorpora en el proceso de cierre de la elaboración del plan, las acci</w:t>
      </w:r>
      <w:r>
        <w:t>ones presentadas son aún restringidas.</w:t>
      </w:r>
    </w:p>
    <w:p w:rsidR="005B5CE3" w:rsidRDefault="005B5CE3">
      <w:pPr>
        <w:pStyle w:val="Standard"/>
        <w:ind w:right="220"/>
      </w:pPr>
    </w:p>
    <w:p w:rsidR="005B5CE3" w:rsidRDefault="00642485">
      <w:pPr>
        <w:pStyle w:val="Standard"/>
        <w:ind w:right="220"/>
      </w:pPr>
      <w:r>
        <w:t xml:space="preserve">Este lineamiento apunta al desarrollo y fortalecimiento de servicios de justicia centrados en las necesidades de NNA, donde todos y todas por igual tengan la posibilidad de </w:t>
      </w:r>
      <w:r>
        <w:lastRenderedPageBreak/>
        <w:t>acceder al conocimiento, ejercicio, defensa</w:t>
      </w:r>
      <w:r>
        <w:t>, derechos y obligaciones a través de los mismos.</w:t>
      </w:r>
    </w:p>
    <w:p w:rsidR="005B5CE3" w:rsidRDefault="005B5CE3">
      <w:pPr>
        <w:pStyle w:val="Standard"/>
        <w:ind w:right="220"/>
      </w:pPr>
    </w:p>
    <w:p w:rsidR="005B5CE3" w:rsidRDefault="00642485">
      <w:pPr>
        <w:pStyle w:val="Standard"/>
        <w:ind w:right="220"/>
      </w:pPr>
      <w:r>
        <w:t>Posibles aspectos a incluir este lineamiento:</w:t>
      </w:r>
    </w:p>
    <w:p w:rsidR="005B5CE3" w:rsidRDefault="00642485">
      <w:pPr>
        <w:pStyle w:val="Standard"/>
        <w:ind w:right="220" w:hanging="360"/>
      </w:pPr>
      <w:r>
        <w:t>1.</w:t>
      </w:r>
      <w:r>
        <w:rPr>
          <w:sz w:val="14"/>
          <w:szCs w:val="14"/>
        </w:rPr>
        <w:t xml:space="preserve">  </w:t>
      </w:r>
      <w:r>
        <w:t>Actividades de sensibilización y de formación sistemática sobre el contenido de la Convención dirigidas a todos profesionales que trabajan con los niños, e</w:t>
      </w:r>
      <w:r>
        <w:t>n especial a los operadores de justicia.</w:t>
      </w:r>
    </w:p>
    <w:p w:rsidR="005B5CE3" w:rsidRDefault="00642485">
      <w:pPr>
        <w:pStyle w:val="Standard"/>
        <w:ind w:right="220" w:hanging="360"/>
      </w:pPr>
      <w:r>
        <w:t>2.</w:t>
      </w:r>
      <w:r>
        <w:rPr>
          <w:sz w:val="14"/>
          <w:szCs w:val="14"/>
        </w:rPr>
        <w:t xml:space="preserve">   </w:t>
      </w:r>
      <w:r>
        <w:t xml:space="preserve">Ajustes en el sistema de justicia en relación al acceso, cobertura, calidad y eficacia. Reformular el modelo de atención de manera de generar todas las garantías en el proceso de actuación, de no revictimizar, </w:t>
      </w:r>
      <w:r>
        <w:t>de disponer de personal especializado en NNA y de respetar el interés superior de NNA.</w:t>
      </w:r>
    </w:p>
    <w:p w:rsidR="005B5CE3" w:rsidRDefault="00642485">
      <w:pPr>
        <w:pStyle w:val="Standard"/>
        <w:ind w:right="220" w:hanging="360"/>
      </w:pPr>
      <w:r>
        <w:t>3.</w:t>
      </w:r>
      <w:r>
        <w:rPr>
          <w:sz w:val="14"/>
          <w:szCs w:val="14"/>
        </w:rPr>
        <w:t xml:space="preserve">       </w:t>
      </w:r>
      <w:r>
        <w:t>Respecto a la justicia juvenil</w:t>
      </w:r>
    </w:p>
    <w:p w:rsidR="005B5CE3" w:rsidRDefault="00642485">
      <w:pPr>
        <w:pStyle w:val="Standard"/>
        <w:spacing w:after="120" w:line="259" w:lineRule="auto"/>
        <w:ind w:left="1000"/>
      </w:pPr>
      <w:r>
        <w:t>(a) establecer instalaciones especializadas de corte juvenil y procedimientos con los recursos humanos, técnicos y financieros ad</w:t>
      </w:r>
      <w:r>
        <w:t>ecuados, designar a jueces especializados para los niños y garantizar que dichos jueces especializados reciben capacitación y educación apropiada ;</w:t>
      </w:r>
    </w:p>
    <w:p w:rsidR="005B5CE3" w:rsidRDefault="00642485">
      <w:pPr>
        <w:pStyle w:val="Standard"/>
        <w:spacing w:after="120" w:line="259" w:lineRule="auto"/>
        <w:ind w:left="1000"/>
      </w:pPr>
      <w:r>
        <w:t>(b) promover medidas de detención, como distracción, libertad condicional, mediación, asesoramiento o servic</w:t>
      </w:r>
      <w:r>
        <w:t>io a la comunidad, siempre que sea posible y asegúrese de que la detención se utiliza sólo como último recurso y por el plazo más corto posible y que se revisa de manera regular con miras a retirarla;</w:t>
      </w:r>
    </w:p>
    <w:p w:rsidR="005B5CE3" w:rsidRDefault="00642485">
      <w:pPr>
        <w:pStyle w:val="Standard"/>
        <w:spacing w:after="120" w:line="259" w:lineRule="auto"/>
        <w:ind w:left="1000"/>
      </w:pPr>
      <w:r>
        <w:t>(c) asegurar que las condiciones de detención son compa</w:t>
      </w:r>
      <w:r>
        <w:t>tibles con las normas internacionales, incluyendo con respecto al acceso a la educación y los servicios de salud; y</w:t>
      </w:r>
    </w:p>
    <w:p w:rsidR="005B5CE3" w:rsidRDefault="00642485">
      <w:pPr>
        <w:pStyle w:val="Standard"/>
        <w:spacing w:after="120" w:line="259" w:lineRule="auto"/>
        <w:ind w:left="1000"/>
      </w:pPr>
      <w:r>
        <w:t>(d) adoptar medidas eficaces destinadas a la recuperación e integración social de los adolescentes en conflicto con la ley.</w:t>
      </w:r>
    </w:p>
    <w:p w:rsidR="005B5CE3" w:rsidRDefault="00642485">
      <w:pPr>
        <w:pStyle w:val="Standard"/>
        <w:ind w:right="220"/>
      </w:pPr>
      <w:r>
        <w:rPr>
          <w:b/>
        </w:rPr>
        <w:t xml:space="preserve"> </w:t>
      </w:r>
    </w:p>
    <w:p w:rsidR="005B5CE3" w:rsidRDefault="00642485">
      <w:pPr>
        <w:pStyle w:val="Standard"/>
        <w:ind w:right="220"/>
      </w:pPr>
      <w:r>
        <w:rPr>
          <w:b/>
        </w:rPr>
        <w:t>5</w:t>
      </w:r>
      <w:r>
        <w:rPr>
          <w:b/>
        </w:rPr>
        <w:t>.2. Análisis</w:t>
      </w:r>
      <w:r>
        <w:rPr>
          <w:b/>
        </w:rPr>
        <w:t xml:space="preserve"> transversal del Plan</w:t>
      </w:r>
    </w:p>
    <w:p w:rsidR="005B5CE3" w:rsidRDefault="005B5CE3">
      <w:pPr>
        <w:pStyle w:val="Standard"/>
        <w:ind w:right="220"/>
      </w:pPr>
    </w:p>
    <w:p w:rsidR="005B5CE3" w:rsidRDefault="00642485">
      <w:pPr>
        <w:pStyle w:val="Standard"/>
        <w:ind w:right="220"/>
      </w:pPr>
      <w:r>
        <w:t xml:space="preserve">Una de los aspectos transversales que aparece con fuerza en el Plan consiste en el concepto de trayectoria. Concepto que pone sobre la mesa la noción de continuidad en un horizonte temporal de mediano y largo plazo, de ciclo de vida </w:t>
      </w:r>
      <w:r>
        <w:t xml:space="preserve">desde la gestación hasta la adolescencia. Propone mirar a los niños, niñas y adolescentes desde una visión integral e interinstitucional. Este abordaje de trayectoria tensiona la configuración de la matriz del </w:t>
      </w:r>
      <w:r>
        <w:lastRenderedPageBreak/>
        <w:t>estado uruguayo constituida en base a sectores</w:t>
      </w:r>
      <w:r>
        <w:t xml:space="preserve"> que se especializan en un campo de política y no en un ciclo de vida específico.</w:t>
      </w:r>
    </w:p>
    <w:p w:rsidR="005B5CE3" w:rsidRDefault="005B5CE3">
      <w:pPr>
        <w:pStyle w:val="Standard"/>
        <w:ind w:right="220"/>
      </w:pPr>
    </w:p>
    <w:p w:rsidR="005B5CE3" w:rsidRDefault="00642485">
      <w:pPr>
        <w:pStyle w:val="Standard"/>
        <w:ind w:right="220"/>
      </w:pPr>
      <w:r>
        <w:t>Sin embargo es posible identificar avances en temas que atraviesan los tres ciclos de vida y ponen en diálogo a las diferentes instituciones que trabajan en temas de infanci</w:t>
      </w:r>
      <w:r>
        <w:t xml:space="preserve">a y adolescencia.  </w:t>
      </w:r>
    </w:p>
    <w:p w:rsidR="005B5CE3" w:rsidRDefault="005B5CE3">
      <w:pPr>
        <w:pStyle w:val="Standard"/>
        <w:ind w:right="220"/>
      </w:pPr>
    </w:p>
    <w:p w:rsidR="005B5CE3" w:rsidRDefault="00642485">
      <w:pPr>
        <w:pStyle w:val="Standard"/>
        <w:ind w:right="220"/>
      </w:pPr>
      <w:r>
        <w:t>Uno de los conceptos que aparece con fuerza es la noción de trayectoria educativa continua y completa pensada e implementada en cada uno de los ciclos de vida planteados en el Plan. Para garantizar las trayectorias educativas se requie</w:t>
      </w:r>
      <w:r>
        <w:t>re de la articulación con otras instituciones ya que para transitar en lo educativo es vital tener un bienestar afectivo, piscofísico y social. Para ello se implementará la Estrategia de Territorios Socioeducativos. También es necesario generar articulacio</w:t>
      </w:r>
      <w:r>
        <w:t>nes a la interna de las instituciones educativas donde el foco se coloca en los tránsitos entre ciclos. Esta línea se viene implementando desde la ANEP y cobra especial relevancia en este período, profundizándose mediante la creación de la Dirección Sector</w:t>
      </w:r>
      <w:r>
        <w:t>ial de Integración Educativa en CODICEN.</w:t>
      </w:r>
    </w:p>
    <w:p w:rsidR="005B5CE3" w:rsidRDefault="005B5CE3">
      <w:pPr>
        <w:pStyle w:val="Standard"/>
        <w:ind w:right="220"/>
      </w:pPr>
    </w:p>
    <w:p w:rsidR="005B5CE3" w:rsidRDefault="00642485">
      <w:pPr>
        <w:pStyle w:val="Standard"/>
        <w:ind w:right="220"/>
      </w:pPr>
      <w:r>
        <w:t>En el área de la salud es posible identificar la noción de trayectoria que parte del supuesto que sí desde la gestación se transita un embarazo saludable, mayores son las probabilidades de tener un desarrollo salu</w:t>
      </w:r>
      <w:r>
        <w:t>dable. La trayectoria en salud también requiere de un abordaje integral e interinstitucional por ello cada vez más las acciones planteadas implican a varias instituciones y disciplinas. El énfasis está puesto en los componentes de promoción y prevención en</w:t>
      </w:r>
      <w:r>
        <w:t xml:space="preserve"> salud.</w:t>
      </w:r>
    </w:p>
    <w:p w:rsidR="005B5CE3" w:rsidRDefault="005B5CE3">
      <w:pPr>
        <w:pStyle w:val="Standard"/>
        <w:ind w:right="220"/>
      </w:pPr>
    </w:p>
    <w:p w:rsidR="005B5CE3" w:rsidRDefault="00642485">
      <w:pPr>
        <w:pStyle w:val="Standard"/>
        <w:ind w:right="220"/>
      </w:pPr>
      <w:r>
        <w:t xml:space="preserve">Otro de los conceptos que forma parte de la agenda de las políticas de infancia y adolescencia y que atraviesa cada uno de los ciclos de vida es la noción de prevención de los distintos tipos de violencia de género y generaciones. Esta noción </w:t>
      </w:r>
      <w:r>
        <w:t xml:space="preserve">implica la reformulación del modelo de prevención y de atención de los distintos tipos de violencia en base a un paradigma de género y generaciones. La apuesta está en que para abordar las situaciones de violencia es fundamental el trabajo con los adultos </w:t>
      </w:r>
      <w:r>
        <w:t xml:space="preserve">responsables de niños, niñas y adolescentes, desde el entendido de que ellos pueden ser un factor de protección o un factor de amenaza. Asimismo la nueva propuesta propone abordar este tema de manera holística el cual incluye todos los diferentes tipos de </w:t>
      </w:r>
      <w:r>
        <w:t xml:space="preserve">violencia y requiere de una fuerte articulación entre las distintas instituciones que trabajan en estos ciclos de </w:t>
      </w:r>
      <w:r>
        <w:lastRenderedPageBreak/>
        <w:t xml:space="preserve">vida. Se implementará el II Plan Nacional SIPIAV y el “Plan 100 acciones acordadas para la erradicación de la explotación sexual comercial de </w:t>
      </w:r>
      <w:r>
        <w:t xml:space="preserve">niñas, niños y adolescentes en Uruguay (2015-2020)” de CONAPEES.  </w:t>
      </w:r>
    </w:p>
    <w:p w:rsidR="005B5CE3" w:rsidRDefault="005B5CE3">
      <w:pPr>
        <w:pStyle w:val="Standard"/>
        <w:ind w:right="220"/>
      </w:pPr>
    </w:p>
    <w:p w:rsidR="005B5CE3" w:rsidRDefault="00642485">
      <w:pPr>
        <w:pStyle w:val="Standard"/>
        <w:ind w:right="220"/>
      </w:pPr>
      <w:r>
        <w:t>Otro de los conceptos que transversaliza los ciclos de vida consiste en el modelo de atención a niños, niñas y adolescentes privados de un entorno familiar. Desde el INAU se implementan mo</w:t>
      </w:r>
      <w:r>
        <w:t>dalidades alternativas de cuidado que apuntan fundamentalmente a la desinternación, es decir a la reformulación del modelo de atención de protección de 24 horas. Así como también a desarrollar un sistema eficiente de apoyo y seguimiento a las familias. Una</w:t>
      </w:r>
      <w:r>
        <w:t xml:space="preserve"> de las acciones centrales a implementar en este quinquenio consiste en la creación de Centros de Acogimiento y Fortalecimiento Familiar (CAFF) y la reconversión de los anteriores.</w:t>
      </w:r>
    </w:p>
    <w:p w:rsidR="005B5CE3" w:rsidRDefault="005B5CE3">
      <w:pPr>
        <w:pStyle w:val="Standard"/>
        <w:ind w:right="220"/>
      </w:pPr>
    </w:p>
    <w:p w:rsidR="005B5CE3" w:rsidRDefault="00642485">
      <w:pPr>
        <w:pStyle w:val="Standard"/>
        <w:ind w:right="220"/>
      </w:pPr>
      <w:r>
        <w:rPr>
          <w:b/>
        </w:rPr>
        <w:t xml:space="preserve">5.3. </w:t>
      </w:r>
      <w:r>
        <w:rPr>
          <w:b/>
        </w:rPr>
        <w:t>Matrices</w:t>
      </w:r>
      <w:r>
        <w:rPr>
          <w:b/>
        </w:rPr>
        <w:t xml:space="preserve"> por ciclo de vida</w:t>
      </w:r>
    </w:p>
    <w:p w:rsidR="005B5CE3" w:rsidRDefault="005B5CE3">
      <w:pPr>
        <w:pStyle w:val="Standard"/>
        <w:ind w:right="220"/>
      </w:pPr>
    </w:p>
    <w:p w:rsidR="005B5CE3" w:rsidRDefault="00642485">
      <w:pPr>
        <w:pStyle w:val="Standard"/>
        <w:spacing w:after="200"/>
      </w:pPr>
      <w:r>
        <w:rPr>
          <w:b/>
        </w:rPr>
        <w:t>Delimitación conceptual y operativa entre</w:t>
      </w:r>
      <w:r>
        <w:rPr>
          <w:b/>
        </w:rPr>
        <w:t xml:space="preserve"> ciclos de vida</w:t>
      </w:r>
    </w:p>
    <w:p w:rsidR="005B5CE3" w:rsidRDefault="00642485">
      <w:pPr>
        <w:pStyle w:val="Standard"/>
        <w:spacing w:after="200"/>
      </w:pPr>
      <w:r>
        <w:t>Cada ciclo de vida presenta características que son comunes y propias, asociadas a factores biológicos, psicológicos y sociales que están interrelacionados entre sí. Dentro de los factores biológicos se identifican aspectos relacionados con</w:t>
      </w:r>
      <w:r>
        <w:t xml:space="preserve"> el crecimiento, como son la edad y los cambios físicos. Los factores psicológicos están asociados al desarrollo afectivo-cognitivo, mientras que los aspectos sociales se inscriben en, por ejemplo, cómo la sociedad concibe a las familias, a los niños/as y </w:t>
      </w:r>
      <w:r>
        <w:t>adolescentes y cómo esto afecta el comportamiento de los mismos.</w:t>
      </w:r>
    </w:p>
    <w:p w:rsidR="005B5CE3" w:rsidRDefault="00642485">
      <w:pPr>
        <w:pStyle w:val="Standard"/>
        <w:spacing w:after="200"/>
      </w:pPr>
      <w:r>
        <w:t xml:space="preserve">Si bien es posible delimitar conceptualmente cada ciclo e identificar aspectos comunes, no se debe desconocer que los factores físicos, psicológicos y sociales no son transitados de la misma </w:t>
      </w:r>
      <w:r>
        <w:t>manera por los sujetos. Asimismo, dentro de cada ciclo de vida existen múltiples formas y maneras de ser y estar, por lo cual asistimos a un lenguaje plural y diverso, haciendo referencia, como ya se ha mencionado, a  infancias, adolescencias y familias.</w:t>
      </w:r>
    </w:p>
    <w:p w:rsidR="005B5CE3" w:rsidRDefault="00642485">
      <w:pPr>
        <w:pStyle w:val="Standard"/>
        <w:spacing w:after="200"/>
      </w:pPr>
      <w:r>
        <w:t>E</w:t>
      </w:r>
      <w:r>
        <w:t>structurar un plan de acción desde una perspectiva de ciclo de vida supone un esfuerzo institucional por la integralidad de las políticas, a la vez que requiere contemplar las especificidades propias de cada ciclo de vida. La Comisión interinstitucional tr</w:t>
      </w:r>
      <w:r>
        <w:t xml:space="preserve">abaja con una mirada integral de los niños, niñas, adolescentes y sus familias, promoviendo que las </w:t>
      </w:r>
      <w:r>
        <w:lastRenderedPageBreak/>
        <w:t>respuestas institucionales aboguen por tal integralidad y evitando las acciones fragmentadas y el solapamiento en las respuestas.</w:t>
      </w:r>
    </w:p>
    <w:p w:rsidR="005B5CE3" w:rsidRDefault="00642485">
      <w:pPr>
        <w:pStyle w:val="Standard"/>
        <w:spacing w:after="200"/>
      </w:pPr>
      <w:r>
        <w:t>El trabajo por ciclo de vi</w:t>
      </w:r>
      <w:r>
        <w:t>da ha permitido focalizar en aspectos claves de cada etapa, identificando problemáticas y diseñando respuestas específicas para cada tramo etario. No obstante, también se ha puesto foco en el tránsito de una etapa a otra, así como en la importancia de dise</w:t>
      </w:r>
      <w:r>
        <w:t>ñar políticas intersectoriales y coordinadas que aseguren el ejercicio de derechos y faciliten la circulación por las diversas instituciones.</w:t>
      </w:r>
    </w:p>
    <w:p w:rsidR="005B5CE3" w:rsidRDefault="00642485">
      <w:pPr>
        <w:pStyle w:val="Standard"/>
        <w:spacing w:after="200"/>
      </w:pPr>
      <w:r>
        <w:t>La delimitación de los ciclos de vida se realizó teniendo en cuenta la Convención sobre los Derechos del Niño y lo</w:t>
      </w:r>
      <w:r>
        <w:t xml:space="preserve">s criterios operativos e instrumentales que facilitan la intersectorialidad en el abordaje. Si bien cada institución maneja distintos criterios etarios, para la elaboración del Plan se acordó concebir a la primera infancia desde el embarazo hasta 5 años y </w:t>
      </w:r>
      <w:r>
        <w:t>11 meses, la infancia desde los 6 años hasta los 12 años y 11 meses y la adolescencia desde los 13 años hasta los 17 años y 11 meses.</w:t>
      </w:r>
    </w:p>
    <w:p w:rsidR="005B5CE3" w:rsidRDefault="005B5CE3">
      <w:pPr>
        <w:pStyle w:val="Standard"/>
        <w:widowControl w:val="0"/>
        <w:jc w:val="left"/>
      </w:pPr>
    </w:p>
    <w:tbl>
      <w:tblPr>
        <w:tblW w:w="10665" w:type="dxa"/>
        <w:tblInd w:w="-1003" w:type="dxa"/>
        <w:tblLayout w:type="fixed"/>
        <w:tblCellMar>
          <w:left w:w="10" w:type="dxa"/>
          <w:right w:w="10" w:type="dxa"/>
        </w:tblCellMar>
        <w:tblLook w:val="0000" w:firstRow="0" w:lastRow="0" w:firstColumn="0" w:lastColumn="0" w:noHBand="0" w:noVBand="0"/>
      </w:tblPr>
      <w:tblGrid>
        <w:gridCol w:w="666"/>
        <w:gridCol w:w="2105"/>
        <w:gridCol w:w="1171"/>
        <w:gridCol w:w="6723"/>
      </w:tblGrid>
      <w:tr w:rsidR="005B5CE3">
        <w:tblPrEx>
          <w:tblCellMar>
            <w:top w:w="0" w:type="dxa"/>
            <w:bottom w:w="0" w:type="dxa"/>
          </w:tblCellMar>
        </w:tblPrEx>
        <w:trPr>
          <w:gridAfter w:val="1"/>
          <w:wAfter w:w="4547" w:type="dxa"/>
          <w:trHeight w:val="380"/>
        </w:trPr>
        <w:tc>
          <w:tcPr>
            <w:tcW w:w="2666" w:type="dxa"/>
            <w:gridSpan w:val="3"/>
            <w:tcBorders>
              <w:top w:val="single" w:sz="4" w:space="0" w:color="000001"/>
              <w:left w:val="single" w:sz="4" w:space="0" w:color="000001"/>
              <w:bottom w:val="single" w:sz="4" w:space="0" w:color="000001"/>
              <w:right w:val="single" w:sz="4" w:space="0" w:color="000001"/>
            </w:tcBorders>
            <w:shd w:val="clear" w:color="auto" w:fill="999999"/>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rPr>
              <w:t>Embarazo y Primera Infancia</w:t>
            </w:r>
          </w:p>
        </w:tc>
      </w:tr>
      <w:tr w:rsidR="005B5CE3">
        <w:tblPrEx>
          <w:tblCellMar>
            <w:top w:w="0" w:type="dxa"/>
            <w:bottom w:w="0" w:type="dxa"/>
          </w:tblCellMar>
        </w:tblPrEx>
        <w:trPr>
          <w:trHeight w:val="300"/>
        </w:trPr>
        <w:tc>
          <w:tcPr>
            <w:tcW w:w="450" w:type="dxa"/>
            <w:vMerge w:val="restart"/>
            <w:tcBorders>
              <w:left w:val="single" w:sz="4" w:space="0" w:color="000001"/>
              <w:bottom w:val="single" w:sz="4" w:space="0" w:color="000001"/>
            </w:tcBorders>
            <w:shd w:val="clear" w:color="auto" w:fill="93C47D"/>
            <w:tcMar>
              <w:top w:w="0" w:type="dxa"/>
              <w:left w:w="108" w:type="dxa"/>
              <w:bottom w:w="0" w:type="dxa"/>
              <w:right w:w="108" w:type="dxa"/>
            </w:tcMar>
          </w:tcPr>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642485">
            <w:pPr>
              <w:pStyle w:val="Standard"/>
              <w:widowControl w:val="0"/>
              <w:spacing w:line="240" w:lineRule="auto"/>
              <w:jc w:val="center"/>
            </w:pPr>
            <w:r>
              <w:rPr>
                <w:rFonts w:ascii="Arial" w:eastAsia="Arial" w:hAnsi="Arial" w:cs="Arial"/>
                <w:b/>
                <w:sz w:val="20"/>
                <w:szCs w:val="20"/>
              </w:rPr>
              <w:t>SALUD</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960"/>
        </w:trPr>
        <w:tc>
          <w:tcPr>
            <w:tcW w:w="450" w:type="dxa"/>
            <w:vMerge/>
            <w:tcBorders>
              <w:left w:val="single" w:sz="4" w:space="0" w:color="000001"/>
              <w:bottom w:val="single" w:sz="4" w:space="0" w:color="000001"/>
            </w:tcBorders>
            <w:shd w:val="clear" w:color="auto" w:fill="93C47D"/>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Salud Sexual y Reproductiva</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-Universalizar la accesibilidad a los métodos anticonceptivos.</w:t>
            </w:r>
          </w:p>
          <w:p w:rsidR="005B5CE3" w:rsidRDefault="00642485">
            <w:pPr>
              <w:pStyle w:val="Standard"/>
              <w:widowControl w:val="0"/>
              <w:spacing w:line="240" w:lineRule="auto"/>
              <w:jc w:val="left"/>
            </w:pPr>
            <w:r>
              <w:rPr>
                <w:rFonts w:ascii="Arial" w:eastAsia="Arial" w:hAnsi="Arial" w:cs="Arial"/>
                <w:sz w:val="20"/>
                <w:szCs w:val="20"/>
              </w:rPr>
              <w:t>-Universalizar el acceso a IVE.</w:t>
            </w:r>
          </w:p>
          <w:p w:rsidR="005B5CE3" w:rsidRDefault="00642485">
            <w:pPr>
              <w:pStyle w:val="Standard"/>
              <w:widowControl w:val="0"/>
              <w:spacing w:line="240" w:lineRule="auto"/>
              <w:jc w:val="left"/>
            </w:pPr>
            <w:r>
              <w:rPr>
                <w:rFonts w:ascii="Arial" w:eastAsia="Arial" w:hAnsi="Arial" w:cs="Arial"/>
                <w:sz w:val="20"/>
                <w:szCs w:val="20"/>
              </w:rPr>
              <w:t>-Educación y prevención de las ITS VIH/SIDA.</w:t>
            </w:r>
          </w:p>
        </w:tc>
      </w:tr>
      <w:tr w:rsidR="005B5CE3">
        <w:tblPrEx>
          <w:tblCellMar>
            <w:top w:w="0" w:type="dxa"/>
            <w:bottom w:w="0" w:type="dxa"/>
          </w:tblCellMar>
        </w:tblPrEx>
        <w:trPr>
          <w:trHeight w:val="280"/>
        </w:trPr>
        <w:tc>
          <w:tcPr>
            <w:tcW w:w="450" w:type="dxa"/>
            <w:vMerge/>
            <w:tcBorders>
              <w:left w:val="single" w:sz="4" w:space="0" w:color="000001"/>
              <w:bottom w:val="single" w:sz="4" w:space="0" w:color="000001"/>
            </w:tcBorders>
            <w:shd w:val="clear" w:color="auto" w:fill="93C47D"/>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Planificación del embarazo</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-Promover las consultas preconcepcionales.</w:t>
            </w:r>
          </w:p>
          <w:p w:rsidR="005B5CE3" w:rsidRDefault="00642485">
            <w:pPr>
              <w:pStyle w:val="Standard"/>
              <w:widowControl w:val="0"/>
              <w:spacing w:line="240" w:lineRule="auto"/>
              <w:jc w:val="left"/>
            </w:pPr>
            <w:r>
              <w:rPr>
                <w:rFonts w:ascii="Arial" w:eastAsia="Arial" w:hAnsi="Arial" w:cs="Arial"/>
                <w:sz w:val="20"/>
                <w:szCs w:val="20"/>
              </w:rPr>
              <w:t>-Humanizar el parto institucional y dismi</w:t>
            </w:r>
            <w:r>
              <w:rPr>
                <w:rFonts w:ascii="Arial" w:eastAsia="Arial" w:hAnsi="Arial" w:cs="Arial"/>
                <w:sz w:val="20"/>
                <w:szCs w:val="20"/>
              </w:rPr>
              <w:t>nuir la tasa de cesárea.</w:t>
            </w:r>
          </w:p>
          <w:p w:rsidR="005B5CE3" w:rsidRDefault="00642485">
            <w:pPr>
              <w:pStyle w:val="Standard"/>
              <w:widowControl w:val="0"/>
              <w:spacing w:line="240" w:lineRule="auto"/>
              <w:jc w:val="left"/>
            </w:pPr>
            <w:r>
              <w:rPr>
                <w:rFonts w:ascii="Arial" w:eastAsia="Arial" w:hAnsi="Arial" w:cs="Arial"/>
                <w:sz w:val="20"/>
                <w:szCs w:val="20"/>
              </w:rPr>
              <w:t>-Eliminar  la transmisión vertical de sífilis y VIH.</w:t>
            </w:r>
          </w:p>
          <w:p w:rsidR="005B5CE3" w:rsidRDefault="00642485">
            <w:pPr>
              <w:pStyle w:val="Standard"/>
              <w:widowControl w:val="0"/>
              <w:spacing w:line="240" w:lineRule="auto"/>
              <w:jc w:val="left"/>
            </w:pPr>
            <w:r>
              <w:rPr>
                <w:rFonts w:ascii="Arial" w:eastAsia="Arial" w:hAnsi="Arial" w:cs="Arial"/>
                <w:sz w:val="20"/>
                <w:szCs w:val="20"/>
              </w:rPr>
              <w:t>-Mejorar la atención de las familias con integrantes con alguna discapacidad.</w:t>
            </w:r>
          </w:p>
          <w:p w:rsidR="005B5CE3" w:rsidRDefault="00642485">
            <w:pPr>
              <w:pStyle w:val="Standard"/>
              <w:widowControl w:val="0"/>
              <w:spacing w:line="240" w:lineRule="auto"/>
              <w:jc w:val="left"/>
            </w:pPr>
            <w:r>
              <w:rPr>
                <w:rFonts w:ascii="Arial" w:eastAsia="Arial" w:hAnsi="Arial" w:cs="Arial"/>
                <w:sz w:val="20"/>
                <w:szCs w:val="20"/>
              </w:rPr>
              <w:t>-Mejorar el diseño y la implementación de las salas de encuentro.</w:t>
            </w:r>
          </w:p>
        </w:tc>
      </w:tr>
      <w:tr w:rsidR="005B5CE3">
        <w:tblPrEx>
          <w:tblCellMar>
            <w:top w:w="0" w:type="dxa"/>
            <w:bottom w:w="0" w:type="dxa"/>
          </w:tblCellMar>
        </w:tblPrEx>
        <w:trPr>
          <w:trHeight w:val="900"/>
        </w:trPr>
        <w:tc>
          <w:tcPr>
            <w:tcW w:w="450" w:type="dxa"/>
            <w:vMerge/>
            <w:tcBorders>
              <w:left w:val="single" w:sz="4" w:space="0" w:color="000001"/>
              <w:bottom w:val="single" w:sz="4" w:space="0" w:color="000001"/>
            </w:tcBorders>
            <w:shd w:val="clear" w:color="auto" w:fill="93C47D"/>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Prematurez</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 xml:space="preserve">-Disminuir la </w:t>
            </w:r>
            <w:r>
              <w:rPr>
                <w:rFonts w:ascii="Arial" w:eastAsia="Arial" w:hAnsi="Arial" w:cs="Arial"/>
                <w:sz w:val="20"/>
                <w:szCs w:val="20"/>
              </w:rPr>
              <w:t>mortalidad y morbilidad infantil neonatal con énfasis en la prematurez como principal causa.</w:t>
            </w:r>
          </w:p>
          <w:p w:rsidR="005B5CE3" w:rsidRDefault="00642485">
            <w:pPr>
              <w:pStyle w:val="Standard"/>
              <w:widowControl w:val="0"/>
              <w:spacing w:line="240" w:lineRule="auto"/>
            </w:pPr>
            <w:r>
              <w:rPr>
                <w:rFonts w:ascii="Arial" w:eastAsia="Arial" w:hAnsi="Arial" w:cs="Arial"/>
                <w:sz w:val="20"/>
                <w:szCs w:val="20"/>
              </w:rPr>
              <w:t>-Reducción de la prematurez a expensas del componente prevenible</w:t>
            </w:r>
          </w:p>
        </w:tc>
      </w:tr>
      <w:tr w:rsidR="005B5CE3">
        <w:tblPrEx>
          <w:tblCellMar>
            <w:top w:w="0" w:type="dxa"/>
            <w:bottom w:w="0" w:type="dxa"/>
          </w:tblCellMar>
        </w:tblPrEx>
        <w:trPr>
          <w:trHeight w:val="1300"/>
        </w:trPr>
        <w:tc>
          <w:tcPr>
            <w:tcW w:w="450" w:type="dxa"/>
            <w:vMerge/>
            <w:tcBorders>
              <w:left w:val="single" w:sz="4" w:space="0" w:color="000001"/>
              <w:bottom w:val="single" w:sz="4" w:space="0" w:color="000001"/>
            </w:tcBorders>
            <w:shd w:val="clear" w:color="auto" w:fill="93C47D"/>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Alteraciones en el desarrollo</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 xml:space="preserve">-Disminuir la prevalencia de alteraciones en el desarrollo en </w:t>
            </w:r>
            <w:r>
              <w:rPr>
                <w:rFonts w:ascii="Arial" w:eastAsia="Arial" w:hAnsi="Arial" w:cs="Arial"/>
                <w:sz w:val="20"/>
                <w:szCs w:val="20"/>
              </w:rPr>
              <w:t>niños/as de 0 a 5 años.</w:t>
            </w:r>
          </w:p>
          <w:p w:rsidR="005B5CE3" w:rsidRDefault="00642485">
            <w:pPr>
              <w:pStyle w:val="Standard"/>
              <w:widowControl w:val="0"/>
              <w:spacing w:line="240" w:lineRule="auto"/>
            </w:pPr>
            <w:r>
              <w:rPr>
                <w:rFonts w:ascii="Arial" w:eastAsia="Arial" w:hAnsi="Arial" w:cs="Arial"/>
                <w:sz w:val="20"/>
                <w:szCs w:val="20"/>
              </w:rPr>
              <w:t>-Atenuar la severidad de las alteraciones diagnosticadas para este grupo etario</w:t>
            </w:r>
          </w:p>
          <w:p w:rsidR="005B5CE3" w:rsidRDefault="00642485">
            <w:pPr>
              <w:pStyle w:val="Standard"/>
              <w:widowControl w:val="0"/>
              <w:spacing w:line="240" w:lineRule="auto"/>
            </w:pPr>
            <w:r>
              <w:rPr>
                <w:rFonts w:ascii="Arial" w:eastAsia="Arial" w:hAnsi="Arial" w:cs="Arial"/>
                <w:sz w:val="20"/>
                <w:szCs w:val="20"/>
              </w:rPr>
              <w:t>-Diseñar un dispositivo para el acompañamiento a las familias  con niños y niñas con discapacidad de 0 a 4 años.</w:t>
            </w:r>
          </w:p>
        </w:tc>
      </w:tr>
      <w:tr w:rsidR="005B5CE3">
        <w:tblPrEx>
          <w:tblCellMar>
            <w:top w:w="0" w:type="dxa"/>
            <w:bottom w:w="0" w:type="dxa"/>
          </w:tblCellMar>
        </w:tblPrEx>
        <w:trPr>
          <w:trHeight w:val="1140"/>
        </w:trPr>
        <w:tc>
          <w:tcPr>
            <w:tcW w:w="450" w:type="dxa"/>
            <w:vMerge/>
            <w:tcBorders>
              <w:left w:val="single" w:sz="4" w:space="0" w:color="000001"/>
              <w:bottom w:val="single" w:sz="4" w:space="0" w:color="000001"/>
            </w:tcBorders>
            <w:shd w:val="clear" w:color="auto" w:fill="93C47D"/>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Nutrición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 xml:space="preserve">-Promover la lactancia </w:t>
            </w:r>
            <w:r>
              <w:rPr>
                <w:rFonts w:ascii="Arial" w:eastAsia="Arial" w:hAnsi="Arial" w:cs="Arial"/>
                <w:sz w:val="20"/>
                <w:szCs w:val="20"/>
              </w:rPr>
              <w:t>materna.</w:t>
            </w:r>
          </w:p>
          <w:p w:rsidR="005B5CE3" w:rsidRDefault="00642485">
            <w:pPr>
              <w:pStyle w:val="Standard"/>
              <w:widowControl w:val="0"/>
              <w:spacing w:line="240" w:lineRule="auto"/>
            </w:pPr>
            <w:r>
              <w:rPr>
                <w:rFonts w:ascii="Arial" w:eastAsia="Arial" w:hAnsi="Arial" w:cs="Arial"/>
                <w:sz w:val="20"/>
                <w:szCs w:val="20"/>
              </w:rPr>
              <w:t>-Reducir la prevalencia de anemia y el retraso del crecimiento</w:t>
            </w:r>
          </w:p>
          <w:p w:rsidR="005B5CE3" w:rsidRDefault="00642485">
            <w:pPr>
              <w:pStyle w:val="Standard"/>
              <w:widowControl w:val="0"/>
              <w:spacing w:line="240" w:lineRule="auto"/>
            </w:pPr>
            <w:r>
              <w:rPr>
                <w:rFonts w:ascii="Arial" w:eastAsia="Arial" w:hAnsi="Arial" w:cs="Arial"/>
                <w:sz w:val="20"/>
                <w:szCs w:val="20"/>
              </w:rPr>
              <w:t>-Elaborar materiales accesibles que contribuya a una lactancia adecuada para madres y padres con discapacidad</w:t>
            </w:r>
          </w:p>
        </w:tc>
      </w:tr>
      <w:tr w:rsidR="005B5CE3">
        <w:tblPrEx>
          <w:tblCellMar>
            <w:top w:w="0" w:type="dxa"/>
            <w:bottom w:w="0" w:type="dxa"/>
          </w:tblCellMar>
        </w:tblPrEx>
        <w:trPr>
          <w:trHeight w:val="700"/>
        </w:trPr>
        <w:tc>
          <w:tcPr>
            <w:tcW w:w="450" w:type="dxa"/>
            <w:vMerge/>
            <w:tcBorders>
              <w:left w:val="single" w:sz="4" w:space="0" w:color="000001"/>
              <w:bottom w:val="single" w:sz="4" w:space="0" w:color="000001"/>
            </w:tcBorders>
            <w:shd w:val="clear" w:color="auto" w:fill="93C47D"/>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Salud mental</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before="100" w:after="119" w:line="240" w:lineRule="auto"/>
            </w:pPr>
            <w:r>
              <w:rPr>
                <w:rFonts w:ascii="Arial" w:eastAsia="Arial" w:hAnsi="Arial" w:cs="Arial"/>
                <w:sz w:val="20"/>
                <w:szCs w:val="20"/>
              </w:rPr>
              <w:t xml:space="preserve">-Asegurar disponibilidad de especialistas en territorio </w:t>
            </w:r>
            <w:r>
              <w:rPr>
                <w:rFonts w:ascii="Arial" w:eastAsia="Arial" w:hAnsi="Arial" w:cs="Arial"/>
                <w:sz w:val="20"/>
                <w:szCs w:val="20"/>
              </w:rPr>
              <w:t>para atención post identificación de problemas de salud mental mediante aplicación de test SF 36</w:t>
            </w:r>
          </w:p>
        </w:tc>
      </w:tr>
      <w:tr w:rsidR="005B5CE3">
        <w:tblPrEx>
          <w:tblCellMar>
            <w:top w:w="0" w:type="dxa"/>
            <w:bottom w:w="0" w:type="dxa"/>
          </w:tblCellMar>
        </w:tblPrEx>
        <w:trPr>
          <w:trHeight w:val="300"/>
        </w:trPr>
        <w:tc>
          <w:tcPr>
            <w:tcW w:w="450" w:type="dxa"/>
            <w:vMerge w:val="restart"/>
            <w:tcBorders>
              <w:left w:val="single" w:sz="4" w:space="0" w:color="000001"/>
              <w:bottom w:val="single" w:sz="4" w:space="0" w:color="000001"/>
            </w:tcBorders>
            <w:shd w:val="clear" w:color="auto" w:fill="F9CB9C"/>
            <w:tcMar>
              <w:top w:w="0" w:type="dxa"/>
              <w:left w:w="108" w:type="dxa"/>
              <w:bottom w:w="0" w:type="dxa"/>
              <w:right w:w="108" w:type="dxa"/>
            </w:tcMar>
          </w:tcPr>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b/>
                <w:sz w:val="20"/>
                <w:szCs w:val="20"/>
              </w:rPr>
              <w:t>EDUCAC</w:t>
            </w:r>
          </w:p>
          <w:p w:rsidR="005B5CE3" w:rsidRDefault="00642485">
            <w:pPr>
              <w:pStyle w:val="Standard"/>
              <w:widowControl w:val="0"/>
              <w:spacing w:line="240" w:lineRule="auto"/>
              <w:jc w:val="left"/>
            </w:pPr>
            <w:r>
              <w:rPr>
                <w:rFonts w:ascii="Arial" w:eastAsia="Arial" w:hAnsi="Arial" w:cs="Arial"/>
                <w:b/>
                <w:sz w:val="20"/>
                <w:szCs w:val="20"/>
              </w:rPr>
              <w:t>I</w:t>
            </w:r>
          </w:p>
          <w:p w:rsidR="005B5CE3" w:rsidRDefault="00642485">
            <w:pPr>
              <w:pStyle w:val="Standard"/>
              <w:widowControl w:val="0"/>
              <w:spacing w:line="240" w:lineRule="auto"/>
              <w:jc w:val="left"/>
            </w:pPr>
            <w:r>
              <w:rPr>
                <w:rFonts w:ascii="Arial" w:eastAsia="Arial" w:hAnsi="Arial" w:cs="Arial"/>
                <w:b/>
                <w:sz w:val="20"/>
                <w:szCs w:val="20"/>
              </w:rPr>
              <w:t>ÓN</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0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Sistema Integral de Información en PI</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-Diseñar e implementar el Sistema Integral de Información en PI.</w:t>
            </w:r>
          </w:p>
          <w:p w:rsidR="005B5CE3" w:rsidRDefault="00642485">
            <w:pPr>
              <w:pStyle w:val="Standard"/>
              <w:widowControl w:val="0"/>
              <w:spacing w:line="240" w:lineRule="auto"/>
            </w:pPr>
            <w:r>
              <w:rPr>
                <w:rFonts w:ascii="Arial" w:eastAsia="Arial" w:hAnsi="Arial" w:cs="Arial"/>
                <w:sz w:val="20"/>
                <w:szCs w:val="20"/>
              </w:rPr>
              <w:t>-Fortalecer el Sistema de Información y Evaluación de resultados del Área Primera Infancia de INAU</w:t>
            </w:r>
          </w:p>
        </w:tc>
      </w:tr>
      <w:tr w:rsidR="005B5CE3">
        <w:tblPrEx>
          <w:tblCellMar>
            <w:top w:w="0" w:type="dxa"/>
            <w:bottom w:w="0" w:type="dxa"/>
          </w:tblCellMar>
        </w:tblPrEx>
        <w:trPr>
          <w:trHeight w:val="30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Sistema Nacional  Integral de Cuidados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 xml:space="preserve">-Ampliar y diversificar la oferta en 0, 1 y 2 años, para posibilitar disponibilidad de servicios de atención </w:t>
            </w:r>
            <w:r>
              <w:rPr>
                <w:rFonts w:ascii="Arial" w:eastAsia="Arial" w:hAnsi="Arial" w:cs="Arial"/>
                <w:sz w:val="20"/>
                <w:szCs w:val="20"/>
              </w:rPr>
              <w:t>cuando madres/padres lo requieran.</w:t>
            </w:r>
          </w:p>
          <w:p w:rsidR="005B5CE3" w:rsidRDefault="00642485">
            <w:pPr>
              <w:pStyle w:val="Standard"/>
              <w:widowControl w:val="0"/>
              <w:spacing w:line="240" w:lineRule="auto"/>
            </w:pPr>
            <w:r>
              <w:rPr>
                <w:rFonts w:ascii="Arial" w:eastAsia="Arial" w:hAnsi="Arial" w:cs="Arial"/>
                <w:sz w:val="20"/>
                <w:szCs w:val="20"/>
              </w:rPr>
              <w:t>-Promover la corresponsabilidad entre hombres y mujeres en los primeros meses de vida de sus hijos</w:t>
            </w:r>
          </w:p>
          <w:p w:rsidR="005B5CE3" w:rsidRDefault="00642485">
            <w:pPr>
              <w:pStyle w:val="Standard"/>
              <w:widowControl w:val="0"/>
              <w:spacing w:line="240" w:lineRule="auto"/>
            </w:pPr>
            <w:r>
              <w:rPr>
                <w:rFonts w:ascii="Arial" w:eastAsia="Arial" w:hAnsi="Arial" w:cs="Arial"/>
                <w:sz w:val="20"/>
                <w:szCs w:val="20"/>
              </w:rPr>
              <w:t>-Formar a educadores en Primera Infancia en el CENFORES de INAU</w:t>
            </w:r>
          </w:p>
          <w:p w:rsidR="005B5CE3" w:rsidRDefault="00642485">
            <w:pPr>
              <w:pStyle w:val="Standard"/>
              <w:widowControl w:val="0"/>
              <w:spacing w:line="240" w:lineRule="auto"/>
            </w:pPr>
            <w:r>
              <w:rPr>
                <w:rFonts w:ascii="Arial" w:eastAsia="Arial" w:hAnsi="Arial" w:cs="Arial"/>
                <w:sz w:val="20"/>
                <w:szCs w:val="20"/>
              </w:rPr>
              <w:t>-Formar a Asistentes Técnicos en Primera Infancia y Maestr</w:t>
            </w:r>
            <w:r>
              <w:rPr>
                <w:rFonts w:ascii="Arial" w:eastAsia="Arial" w:hAnsi="Arial" w:cs="Arial"/>
                <w:sz w:val="20"/>
                <w:szCs w:val="20"/>
              </w:rPr>
              <w:t>os de Primera Infancia  (MPI) en el CFE</w:t>
            </w:r>
          </w:p>
        </w:tc>
      </w:tr>
      <w:tr w:rsidR="005B5CE3">
        <w:tblPrEx>
          <w:tblCellMar>
            <w:top w:w="0" w:type="dxa"/>
            <w:bottom w:w="0" w:type="dxa"/>
          </w:tblCellMar>
        </w:tblPrEx>
        <w:trPr>
          <w:trHeight w:val="88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Educación Inicial</w:t>
            </w:r>
          </w:p>
        </w:tc>
        <w:tc>
          <w:tcPr>
            <w:tcW w:w="5339" w:type="dxa"/>
            <w:gridSpan w:val="2"/>
            <w:tcBorders>
              <w:left w:val="single" w:sz="8" w:space="0" w:color="000001"/>
              <w:bottom w:val="single" w:sz="8"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-Universalizar educación en 4 y 5 años</w:t>
            </w:r>
          </w:p>
          <w:p w:rsidR="005B5CE3" w:rsidRDefault="00642485">
            <w:pPr>
              <w:pStyle w:val="Standard"/>
              <w:widowControl w:val="0"/>
              <w:spacing w:line="240" w:lineRule="auto"/>
            </w:pPr>
            <w:r>
              <w:rPr>
                <w:rFonts w:ascii="Arial" w:eastAsia="Arial" w:hAnsi="Arial" w:cs="Arial"/>
                <w:sz w:val="20"/>
                <w:szCs w:val="20"/>
              </w:rPr>
              <w:t>-Implementar el “Marco curricular para la atención y educación de niñas y niños uruguayos desde el nacimiento a los 5 años” elaborado por el Consejo Coordin</w:t>
            </w:r>
            <w:r>
              <w:rPr>
                <w:rFonts w:ascii="Arial" w:eastAsia="Arial" w:hAnsi="Arial" w:cs="Arial"/>
                <w:sz w:val="20"/>
                <w:szCs w:val="20"/>
              </w:rPr>
              <w:t>ador de la Educación en la Primera Infancia.</w:t>
            </w:r>
          </w:p>
        </w:tc>
      </w:tr>
      <w:tr w:rsidR="005B5CE3">
        <w:tblPrEx>
          <w:tblCellMar>
            <w:top w:w="0" w:type="dxa"/>
            <w:bottom w:w="0" w:type="dxa"/>
          </w:tblCellMar>
        </w:tblPrEx>
        <w:trPr>
          <w:trHeight w:val="320"/>
        </w:trPr>
        <w:tc>
          <w:tcPr>
            <w:tcW w:w="450" w:type="dxa"/>
            <w:vMerge w:val="restart"/>
            <w:tcBorders>
              <w:left w:val="single" w:sz="4" w:space="0" w:color="000001"/>
              <w:bottom w:val="single" w:sz="4" w:space="0" w:color="000001"/>
            </w:tcBorders>
            <w:shd w:val="clear" w:color="auto" w:fill="B4A7D6"/>
            <w:tcMar>
              <w:top w:w="0" w:type="dxa"/>
              <w:left w:w="108" w:type="dxa"/>
              <w:bottom w:w="0" w:type="dxa"/>
              <w:right w:w="108" w:type="dxa"/>
            </w:tcMar>
          </w:tcPr>
          <w:p w:rsidR="005B5CE3" w:rsidRDefault="005B5CE3">
            <w:pPr>
              <w:pStyle w:val="Standard"/>
              <w:widowControl w:val="0"/>
              <w:spacing w:line="240" w:lineRule="auto"/>
              <w:jc w:val="center"/>
            </w:pPr>
          </w:p>
          <w:p w:rsidR="005B5CE3" w:rsidRDefault="005B5CE3">
            <w:pPr>
              <w:pStyle w:val="Standard"/>
              <w:widowControl w:val="0"/>
              <w:spacing w:line="240" w:lineRule="auto"/>
              <w:jc w:val="center"/>
            </w:pPr>
          </w:p>
          <w:p w:rsidR="005B5CE3" w:rsidRDefault="00642485">
            <w:pPr>
              <w:pStyle w:val="Standard"/>
              <w:widowControl w:val="0"/>
              <w:spacing w:line="240" w:lineRule="auto"/>
              <w:jc w:val="center"/>
            </w:pPr>
            <w:r>
              <w:rPr>
                <w:rFonts w:ascii="Arial" w:eastAsia="Arial" w:hAnsi="Arial" w:cs="Arial"/>
                <w:b/>
                <w:sz w:val="20"/>
                <w:szCs w:val="20"/>
              </w:rPr>
              <w:t>VIOLENCIA</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840"/>
        </w:trPr>
        <w:tc>
          <w:tcPr>
            <w:tcW w:w="450" w:type="dxa"/>
            <w:vMerge/>
            <w:tcBorders>
              <w:left w:val="single" w:sz="4" w:space="0" w:color="000001"/>
              <w:bottom w:val="single" w:sz="4" w:space="0" w:color="000001"/>
            </w:tcBorders>
            <w:shd w:val="clear" w:color="auto" w:fill="B4A7D6"/>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Violencia basada en género y generaciones</w:t>
            </w:r>
          </w:p>
        </w:tc>
        <w:tc>
          <w:tcPr>
            <w:tcW w:w="5339" w:type="dxa"/>
            <w:gridSpan w:val="2"/>
            <w:tcBorders>
              <w:left w:val="single" w:sz="8" w:space="0" w:color="000001"/>
              <w:bottom w:val="single" w:sz="8"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color w:val="222222"/>
                <w:sz w:val="20"/>
                <w:szCs w:val="20"/>
                <w:shd w:val="clear" w:color="auto" w:fill="FFFFFF"/>
              </w:rPr>
              <w:t xml:space="preserve">-Asegurar una respuesta adecuada y oportuna con respeto y confidencialidad que incluya: contención, orientación y </w:t>
            </w:r>
            <w:r>
              <w:rPr>
                <w:rFonts w:ascii="Arial" w:eastAsia="Arial" w:hAnsi="Arial" w:cs="Arial"/>
                <w:color w:val="222222"/>
                <w:sz w:val="20"/>
                <w:szCs w:val="20"/>
                <w:shd w:val="clear" w:color="auto" w:fill="FFFFFF"/>
              </w:rPr>
              <w:t>seguimiento a las situaciones de VBGG.</w:t>
            </w:r>
          </w:p>
        </w:tc>
      </w:tr>
      <w:tr w:rsidR="005B5CE3">
        <w:tblPrEx>
          <w:tblCellMar>
            <w:top w:w="0" w:type="dxa"/>
            <w:bottom w:w="0" w:type="dxa"/>
          </w:tblCellMar>
        </w:tblPrEx>
        <w:trPr>
          <w:trHeight w:val="300"/>
        </w:trPr>
        <w:tc>
          <w:tcPr>
            <w:tcW w:w="450" w:type="dxa"/>
            <w:vMerge/>
            <w:tcBorders>
              <w:left w:val="single" w:sz="4" w:space="0" w:color="000001"/>
              <w:bottom w:val="single" w:sz="4" w:space="0" w:color="000001"/>
            </w:tcBorders>
            <w:shd w:val="clear" w:color="auto" w:fill="B4A7D6"/>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Violencia institucional</w:t>
            </w:r>
          </w:p>
        </w:tc>
        <w:tc>
          <w:tcPr>
            <w:tcW w:w="5339" w:type="dxa"/>
            <w:gridSpan w:val="2"/>
            <w:tcBorders>
              <w:left w:val="single" w:sz="8" w:space="0" w:color="000001"/>
              <w:bottom w:val="single" w:sz="8" w:space="0" w:color="000001"/>
            </w:tcBorders>
            <w:tcMar>
              <w:top w:w="0" w:type="dxa"/>
              <w:left w:w="108" w:type="dxa"/>
              <w:bottom w:w="0" w:type="dxa"/>
              <w:right w:w="108" w:type="dxa"/>
            </w:tcMar>
          </w:tcPr>
          <w:p w:rsidR="005B5CE3" w:rsidRDefault="00642485">
            <w:pPr>
              <w:pStyle w:val="Standard"/>
              <w:spacing w:before="100" w:after="119" w:line="240" w:lineRule="auto"/>
            </w:pPr>
            <w:r>
              <w:rPr>
                <w:rFonts w:ascii="Arial" w:eastAsia="Arial" w:hAnsi="Arial" w:cs="Arial"/>
                <w:sz w:val="20"/>
                <w:szCs w:val="20"/>
              </w:rPr>
              <w:t>-Asegurar mecanismos adecuados de prevención, detección precoz, protección y reparación en situaciones de violencia institucional</w:t>
            </w:r>
          </w:p>
        </w:tc>
      </w:tr>
      <w:tr w:rsidR="005B5CE3">
        <w:tblPrEx>
          <w:tblCellMar>
            <w:top w:w="0" w:type="dxa"/>
            <w:bottom w:w="0" w:type="dxa"/>
          </w:tblCellMar>
        </w:tblPrEx>
        <w:trPr>
          <w:trHeight w:val="300"/>
        </w:trPr>
        <w:tc>
          <w:tcPr>
            <w:tcW w:w="450" w:type="dxa"/>
            <w:vMerge w:val="restart"/>
            <w:tcBorders>
              <w:left w:val="single" w:sz="4" w:space="0" w:color="000001"/>
              <w:bottom w:val="single" w:sz="4" w:space="0" w:color="000001"/>
            </w:tcBorders>
            <w:shd w:val="clear" w:color="auto" w:fill="A2C4C9"/>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VULNERABILIDAD</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20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Desinternación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120" w:line="240" w:lineRule="auto"/>
            </w:pPr>
            <w:r>
              <w:rPr>
                <w:rFonts w:ascii="Arial" w:eastAsia="Arial" w:hAnsi="Arial" w:cs="Arial"/>
                <w:color w:val="222222"/>
                <w:sz w:val="20"/>
                <w:szCs w:val="20"/>
                <w:shd w:val="clear" w:color="auto" w:fill="FFFFFF"/>
              </w:rPr>
              <w:t xml:space="preserve">-Mejorar la situación de hijos de personas privadas de libertad.       </w:t>
            </w:r>
          </w:p>
          <w:p w:rsidR="005B5CE3" w:rsidRDefault="00642485">
            <w:pPr>
              <w:pStyle w:val="Standard"/>
              <w:spacing w:after="120" w:line="240" w:lineRule="auto"/>
            </w:pPr>
            <w:r>
              <w:rPr>
                <w:rFonts w:ascii="Arial" w:eastAsia="Arial" w:hAnsi="Arial" w:cs="Arial"/>
                <w:color w:val="222222"/>
                <w:sz w:val="20"/>
                <w:szCs w:val="20"/>
                <w:shd w:val="clear" w:color="auto" w:fill="FFFFFF"/>
              </w:rPr>
              <w:t xml:space="preserve">-Promover y profundizar modelos de protección no residenciales, y desarrollar un eficiente sistema de apoyo y seguimiento a las familias.  </w:t>
            </w:r>
          </w:p>
          <w:p w:rsidR="005B5CE3" w:rsidRDefault="00642485">
            <w:pPr>
              <w:pStyle w:val="Standard"/>
              <w:spacing w:after="120" w:line="240" w:lineRule="auto"/>
            </w:pPr>
            <w:r>
              <w:rPr>
                <w:rFonts w:ascii="Arial" w:eastAsia="Arial" w:hAnsi="Arial" w:cs="Arial"/>
                <w:color w:val="222222"/>
                <w:sz w:val="20"/>
                <w:szCs w:val="20"/>
                <w:shd w:val="clear" w:color="auto" w:fill="FFFFFF"/>
              </w:rPr>
              <w:t>-Continuar con la inclusión d</w:t>
            </w:r>
            <w:r>
              <w:rPr>
                <w:rFonts w:ascii="Arial" w:eastAsia="Arial" w:hAnsi="Arial" w:cs="Arial"/>
                <w:color w:val="222222"/>
                <w:sz w:val="20"/>
                <w:szCs w:val="20"/>
                <w:shd w:val="clear" w:color="auto" w:fill="FFFFFF"/>
              </w:rPr>
              <w:t>e niños y niñas con discapacidad en Centros Primera Infancia                                                                            -Mejorar los tiempos de implementación del sistema de adopciones</w:t>
            </w:r>
          </w:p>
        </w:tc>
      </w:tr>
      <w:tr w:rsidR="005B5CE3">
        <w:tblPrEx>
          <w:tblCellMar>
            <w:top w:w="0" w:type="dxa"/>
            <w:bottom w:w="0" w:type="dxa"/>
          </w:tblCellMar>
        </w:tblPrEx>
        <w:tc>
          <w:tcPr>
            <w:tcW w:w="450" w:type="dxa"/>
            <w:vMerge w:val="restart"/>
            <w:tcBorders>
              <w:left w:val="single" w:sz="4" w:space="0" w:color="000001"/>
              <w:bottom w:val="single" w:sz="4" w:space="0" w:color="000001"/>
            </w:tcBorders>
            <w:shd w:val="clear" w:color="auto" w:fill="9FC5E8"/>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PARTICIPACIÓN</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c>
          <w:tcPr>
            <w:tcW w:w="450" w:type="dxa"/>
            <w:vMerge/>
            <w:tcBorders>
              <w:left w:val="single" w:sz="4" w:space="0" w:color="000001"/>
              <w:bottom w:val="single" w:sz="4" w:space="0" w:color="000001"/>
            </w:tcBorders>
            <w:shd w:val="clear" w:color="auto" w:fill="9FC5E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Territorios amigables</w:t>
            </w:r>
          </w:p>
        </w:tc>
        <w:tc>
          <w:tcPr>
            <w:tcW w:w="5339" w:type="dxa"/>
            <w:gridSpan w:val="2"/>
            <w:tcBorders>
              <w:left w:val="single" w:sz="8" w:space="0" w:color="000001"/>
              <w:bottom w:val="single" w:sz="8" w:space="0" w:color="000001"/>
            </w:tcBorders>
            <w:tcMar>
              <w:top w:w="0" w:type="dxa"/>
              <w:left w:w="108" w:type="dxa"/>
              <w:bottom w:w="0" w:type="dxa"/>
              <w:right w:w="108" w:type="dxa"/>
            </w:tcMar>
          </w:tcPr>
          <w:p w:rsidR="005B5CE3" w:rsidRDefault="005B5CE3">
            <w:pPr>
              <w:pStyle w:val="Standard"/>
              <w:spacing w:before="100" w:after="119" w:line="240" w:lineRule="auto"/>
            </w:pPr>
          </w:p>
          <w:p w:rsidR="005B5CE3" w:rsidRDefault="00642485">
            <w:pPr>
              <w:pStyle w:val="Standard"/>
              <w:spacing w:before="100" w:after="119" w:line="240" w:lineRule="auto"/>
            </w:pPr>
            <w:r>
              <w:rPr>
                <w:rFonts w:ascii="Arial" w:eastAsia="Arial" w:hAnsi="Arial" w:cs="Arial"/>
                <w:color w:val="222222"/>
                <w:sz w:val="20"/>
                <w:szCs w:val="20"/>
                <w:shd w:val="clear" w:color="auto" w:fill="FFFFFF"/>
              </w:rPr>
              <w:t>Lograr que las ciudades sean territorios amigables, inclusivos, seguros y divertidos.</w:t>
            </w:r>
          </w:p>
        </w:tc>
      </w:tr>
      <w:tr w:rsidR="005B5CE3">
        <w:tblPrEx>
          <w:tblCellMar>
            <w:top w:w="0" w:type="dxa"/>
            <w:bottom w:w="0" w:type="dxa"/>
          </w:tblCellMar>
        </w:tblPrEx>
        <w:trPr>
          <w:gridAfter w:val="1"/>
          <w:wAfter w:w="4547" w:type="dxa"/>
          <w:trHeight w:val="340"/>
        </w:trPr>
        <w:tc>
          <w:tcPr>
            <w:tcW w:w="2666" w:type="dxa"/>
            <w:gridSpan w:val="3"/>
            <w:tcBorders>
              <w:left w:val="single" w:sz="4" w:space="0" w:color="000001"/>
              <w:bottom w:val="single" w:sz="4" w:space="0" w:color="000001"/>
            </w:tcBorders>
            <w:shd w:val="clear" w:color="auto" w:fill="999999"/>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Infancia</w:t>
            </w:r>
          </w:p>
        </w:tc>
      </w:tr>
      <w:tr w:rsidR="005B5CE3">
        <w:tblPrEx>
          <w:tblCellMar>
            <w:top w:w="0" w:type="dxa"/>
            <w:bottom w:w="0" w:type="dxa"/>
          </w:tblCellMar>
        </w:tblPrEx>
        <w:trPr>
          <w:trHeight w:val="340"/>
        </w:trPr>
        <w:tc>
          <w:tcPr>
            <w:tcW w:w="450" w:type="dxa"/>
            <w:vMerge w:val="restart"/>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b/>
                <w:sz w:val="20"/>
                <w:szCs w:val="20"/>
              </w:rPr>
              <w:t>SALUD</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00"/>
        </w:trPr>
        <w:tc>
          <w:tcPr>
            <w:tcW w:w="450" w:type="dxa"/>
            <w:vMerge/>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Sistemas de información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-Unificación de los sistemas de información.</w:t>
            </w:r>
          </w:p>
          <w:p w:rsidR="005B5CE3" w:rsidRDefault="005B5CE3">
            <w:pPr>
              <w:pStyle w:val="Standard"/>
              <w:widowControl w:val="0"/>
              <w:spacing w:line="240" w:lineRule="auto"/>
              <w:jc w:val="left"/>
            </w:pPr>
          </w:p>
        </w:tc>
      </w:tr>
      <w:tr w:rsidR="005B5CE3">
        <w:tblPrEx>
          <w:tblCellMar>
            <w:top w:w="0" w:type="dxa"/>
            <w:bottom w:w="0" w:type="dxa"/>
          </w:tblCellMar>
        </w:tblPrEx>
        <w:trPr>
          <w:trHeight w:val="680"/>
        </w:trPr>
        <w:tc>
          <w:tcPr>
            <w:tcW w:w="450" w:type="dxa"/>
            <w:vMerge/>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sz w:val="20"/>
                <w:szCs w:val="20"/>
              </w:rPr>
              <w:t>Nutrición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200" w:line="240" w:lineRule="auto"/>
            </w:pPr>
            <w:r>
              <w:rPr>
                <w:rFonts w:ascii="Arial" w:eastAsia="Arial" w:hAnsi="Arial" w:cs="Arial"/>
                <w:sz w:val="20"/>
                <w:szCs w:val="20"/>
              </w:rPr>
              <w:t xml:space="preserve">-Reducir </w:t>
            </w:r>
            <w:r>
              <w:rPr>
                <w:rFonts w:ascii="Arial" w:eastAsia="Arial" w:hAnsi="Arial" w:cs="Arial"/>
                <w:sz w:val="20"/>
                <w:szCs w:val="20"/>
              </w:rPr>
              <w:t>los problemas nutricionales críticos con énfasis en sobrepeso y obesidad.</w:t>
            </w:r>
          </w:p>
        </w:tc>
      </w:tr>
      <w:tr w:rsidR="005B5CE3">
        <w:tblPrEx>
          <w:tblCellMar>
            <w:top w:w="0" w:type="dxa"/>
            <w:bottom w:w="0" w:type="dxa"/>
          </w:tblCellMar>
        </w:tblPrEx>
        <w:trPr>
          <w:trHeight w:val="340"/>
        </w:trPr>
        <w:tc>
          <w:tcPr>
            <w:tcW w:w="450" w:type="dxa"/>
            <w:vMerge w:val="restart"/>
            <w:tcBorders>
              <w:left w:val="single" w:sz="4" w:space="0" w:color="000001"/>
              <w:bottom w:val="single" w:sz="4" w:space="0" w:color="000001"/>
            </w:tcBorders>
            <w:shd w:val="clear" w:color="auto" w:fill="F9CB9C"/>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b/>
                <w:sz w:val="20"/>
                <w:szCs w:val="20"/>
              </w:rPr>
              <w:t>EDUCACIÓN</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0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Extensión del tiempo pedagógico</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 xml:space="preserve">- Ampliar y construir jardines y escuelas de tiempo completo, ampliar  Programa Maestros Comunitarios </w:t>
            </w:r>
            <w:r>
              <w:rPr>
                <w:rFonts w:ascii="Arial" w:eastAsia="Arial" w:hAnsi="Arial" w:cs="Arial"/>
                <w:sz w:val="20"/>
                <w:szCs w:val="20"/>
              </w:rPr>
              <w:t>a educación inicial</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Mejoramiento curricular</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-Explicitar perfiles de logro al finalizar 3ero y 6to grado en Lenguaje, Matemáticas, Ciencias Naturales y Ciencias Sociales.</w:t>
            </w:r>
          </w:p>
        </w:tc>
      </w:tr>
      <w:tr w:rsidR="005B5CE3">
        <w:tblPrEx>
          <w:tblCellMar>
            <w:top w:w="0" w:type="dxa"/>
            <w:bottom w:w="0" w:type="dxa"/>
          </w:tblCellMar>
        </w:tblPrEx>
        <w:trPr>
          <w:trHeight w:val="114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Atención a la diversidad de la población estudiantil</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 xml:space="preserve">-Profundizar el trabajo de </w:t>
            </w:r>
            <w:r>
              <w:rPr>
                <w:rFonts w:ascii="Arial" w:eastAsia="Arial" w:hAnsi="Arial" w:cs="Arial"/>
                <w:sz w:val="20"/>
                <w:szCs w:val="20"/>
              </w:rPr>
              <w:t>“Red de Jardines de Infantes y Escuelas Inclusivas Mandela.                                                                                           -Ampliar los equipos técnicos de Escuelas Disfrutables, Abordar las dificultades de aprendizaje</w:t>
            </w:r>
          </w:p>
        </w:tc>
      </w:tr>
      <w:tr w:rsidR="005B5CE3">
        <w:tblPrEx>
          <w:tblCellMar>
            <w:top w:w="0" w:type="dxa"/>
            <w:bottom w:w="0" w:type="dxa"/>
          </w:tblCellMar>
        </w:tblPrEx>
        <w:trPr>
          <w:trHeight w:val="84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Profesionalización docente</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-Aumentar el número de egresos de los Institutos de formación docente, avanzar hacia la formación docente universitaria,  formación permanente, posgrados e investigación en educación.</w:t>
            </w:r>
          </w:p>
        </w:tc>
      </w:tr>
      <w:tr w:rsidR="005B5CE3">
        <w:tblPrEx>
          <w:tblCellMar>
            <w:top w:w="0" w:type="dxa"/>
            <w:bottom w:w="0" w:type="dxa"/>
          </w:tblCellMar>
        </w:tblPrEx>
        <w:trPr>
          <w:trHeight w:val="900"/>
        </w:trPr>
        <w:tc>
          <w:tcPr>
            <w:tcW w:w="450" w:type="dxa"/>
            <w:vMerge/>
            <w:tcBorders>
              <w:left w:val="single" w:sz="4" w:space="0" w:color="000001"/>
              <w:bottom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Descentralización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 xml:space="preserve">-Generar nucleamientos </w:t>
            </w:r>
            <w:r>
              <w:rPr>
                <w:rFonts w:ascii="Arial" w:eastAsia="Arial" w:hAnsi="Arial" w:cs="Arial"/>
                <w:sz w:val="20"/>
                <w:szCs w:val="20"/>
              </w:rPr>
              <w:t>entre escuelas rurales.</w:t>
            </w:r>
          </w:p>
        </w:tc>
      </w:tr>
      <w:tr w:rsidR="005B5CE3">
        <w:tblPrEx>
          <w:tblCellMar>
            <w:top w:w="0" w:type="dxa"/>
            <w:bottom w:w="0" w:type="dxa"/>
          </w:tblCellMar>
        </w:tblPrEx>
        <w:trPr>
          <w:trHeight w:val="360"/>
        </w:trPr>
        <w:tc>
          <w:tcPr>
            <w:tcW w:w="450" w:type="dxa"/>
            <w:vMerge w:val="restart"/>
            <w:tcBorders>
              <w:left w:val="single" w:sz="4" w:space="0" w:color="000001"/>
              <w:bottom w:val="single" w:sz="4" w:space="0" w:color="000001"/>
            </w:tcBorders>
            <w:shd w:val="clear" w:color="auto" w:fill="B4A7D6"/>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center"/>
            </w:pPr>
            <w:r>
              <w:rPr>
                <w:rFonts w:ascii="Arial" w:eastAsia="Arial" w:hAnsi="Arial" w:cs="Arial"/>
                <w:b/>
                <w:sz w:val="20"/>
                <w:szCs w:val="20"/>
              </w:rPr>
              <w:t>VIOLENCIA</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00"/>
        </w:trPr>
        <w:tc>
          <w:tcPr>
            <w:tcW w:w="450" w:type="dxa"/>
            <w:vMerge/>
            <w:tcBorders>
              <w:left w:val="single" w:sz="4" w:space="0" w:color="000001"/>
              <w:bottom w:val="single" w:sz="4" w:space="0" w:color="000001"/>
            </w:tcBorders>
            <w:shd w:val="clear" w:color="auto" w:fill="B4A7D6"/>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SItuaciones de violencia.</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-Diseñar e implementar de un Plan Director INAU para violencia hacia niños, niñas y adolescentes.</w:t>
            </w:r>
          </w:p>
          <w:p w:rsidR="005B5CE3" w:rsidRDefault="00642485">
            <w:pPr>
              <w:pStyle w:val="Standard"/>
              <w:widowControl w:val="0"/>
              <w:spacing w:line="240" w:lineRule="auto"/>
            </w:pPr>
            <w:r>
              <w:rPr>
                <w:rFonts w:ascii="Arial" w:eastAsia="Arial" w:hAnsi="Arial" w:cs="Arial"/>
                <w:sz w:val="20"/>
                <w:szCs w:val="20"/>
              </w:rPr>
              <w:t xml:space="preserve">- Crear dispositivos de proximidad para la atención a las </w:t>
            </w:r>
            <w:r>
              <w:rPr>
                <w:rFonts w:ascii="Arial" w:eastAsia="Arial" w:hAnsi="Arial" w:cs="Arial"/>
                <w:sz w:val="20"/>
                <w:szCs w:val="20"/>
              </w:rPr>
              <w:t>situaciones de violencia.</w:t>
            </w:r>
          </w:p>
          <w:p w:rsidR="005B5CE3" w:rsidRDefault="00642485">
            <w:pPr>
              <w:pStyle w:val="Standard"/>
              <w:widowControl w:val="0"/>
              <w:spacing w:line="240" w:lineRule="auto"/>
            </w:pPr>
            <w:r>
              <w:rPr>
                <w:rFonts w:ascii="Arial" w:eastAsia="Arial" w:hAnsi="Arial" w:cs="Arial"/>
                <w:sz w:val="20"/>
                <w:szCs w:val="20"/>
              </w:rPr>
              <w:t>-Implementar el II Plan Nacional del SIPIAV.</w:t>
            </w:r>
          </w:p>
          <w:p w:rsidR="005B5CE3" w:rsidRDefault="00642485">
            <w:pPr>
              <w:pStyle w:val="Standard"/>
              <w:widowControl w:val="0"/>
              <w:spacing w:line="240" w:lineRule="auto"/>
            </w:pPr>
            <w:r>
              <w:rPr>
                <w:rFonts w:ascii="Arial" w:eastAsia="Arial" w:hAnsi="Arial" w:cs="Arial"/>
                <w:sz w:val="20"/>
                <w:szCs w:val="20"/>
              </w:rPr>
              <w:t>- Implementar el Plan “100 acciones acordadas para la erradicación de la ESCNNA” del CONAPEES.</w:t>
            </w:r>
          </w:p>
          <w:p w:rsidR="005B5CE3" w:rsidRDefault="00642485">
            <w:pPr>
              <w:pStyle w:val="Standard"/>
              <w:widowControl w:val="0"/>
              <w:spacing w:line="240" w:lineRule="auto"/>
            </w:pPr>
            <w:r>
              <w:rPr>
                <w:rFonts w:ascii="Arial" w:eastAsia="Arial" w:hAnsi="Arial" w:cs="Arial"/>
                <w:sz w:val="20"/>
                <w:szCs w:val="20"/>
              </w:rPr>
              <w:t>- Promover cambios en la legislación referida al abuso sexual infantil y adolescente.</w:t>
            </w:r>
          </w:p>
          <w:p w:rsidR="005B5CE3" w:rsidRDefault="00642485">
            <w:pPr>
              <w:pStyle w:val="Standard"/>
              <w:widowControl w:val="0"/>
              <w:spacing w:line="240" w:lineRule="auto"/>
            </w:pPr>
            <w:r>
              <w:rPr>
                <w:rFonts w:ascii="Arial" w:eastAsia="Arial" w:hAnsi="Arial" w:cs="Arial"/>
                <w:sz w:val="20"/>
                <w:szCs w:val="20"/>
              </w:rPr>
              <w:t>-Cre</w:t>
            </w:r>
            <w:r>
              <w:rPr>
                <w:rFonts w:ascii="Arial" w:eastAsia="Arial" w:hAnsi="Arial" w:cs="Arial"/>
                <w:sz w:val="20"/>
                <w:szCs w:val="20"/>
              </w:rPr>
              <w:t>ar un servicio de recepción de denuncias, atención y protección ante situaciones que pudieran configurar violencia institucional</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B4A7D6"/>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Violencia institucional.</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 xml:space="preserve">-Revisar el marco normativo administrativo para incorporar nuevas respuestas a las situaciones de </w:t>
            </w:r>
            <w:r>
              <w:rPr>
                <w:rFonts w:ascii="Arial" w:eastAsia="Arial" w:hAnsi="Arial" w:cs="Arial"/>
                <w:sz w:val="20"/>
                <w:szCs w:val="20"/>
              </w:rPr>
              <w:t>violencia institucional.</w:t>
            </w:r>
          </w:p>
          <w:p w:rsidR="005B5CE3" w:rsidRDefault="00642485">
            <w:pPr>
              <w:pStyle w:val="Standard"/>
              <w:widowControl w:val="0"/>
              <w:spacing w:line="240" w:lineRule="auto"/>
            </w:pPr>
            <w:r>
              <w:rPr>
                <w:rFonts w:ascii="Arial" w:eastAsia="Arial" w:hAnsi="Arial" w:cs="Arial"/>
                <w:sz w:val="20"/>
                <w:szCs w:val="20"/>
              </w:rPr>
              <w:t>-Crear un servicio de recepción de denuncias, atención y protección ante situaciones que pudieran configurar violencia institucional.</w:t>
            </w:r>
          </w:p>
        </w:tc>
      </w:tr>
      <w:tr w:rsidR="005B5CE3">
        <w:tblPrEx>
          <w:tblCellMar>
            <w:top w:w="0" w:type="dxa"/>
            <w:bottom w:w="0" w:type="dxa"/>
          </w:tblCellMar>
        </w:tblPrEx>
        <w:trPr>
          <w:trHeight w:val="300"/>
        </w:trPr>
        <w:tc>
          <w:tcPr>
            <w:tcW w:w="450" w:type="dxa"/>
            <w:vMerge w:val="restart"/>
            <w:tcBorders>
              <w:left w:val="single" w:sz="4" w:space="0" w:color="000001"/>
              <w:bottom w:val="single" w:sz="4" w:space="0" w:color="000001"/>
            </w:tcBorders>
            <w:shd w:val="clear" w:color="auto" w:fill="A2C4C9"/>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VULNERABILIDAD</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Trabajo infantil</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120" w:line="240" w:lineRule="auto"/>
            </w:pPr>
            <w:r>
              <w:rPr>
                <w:rFonts w:ascii="Arial" w:eastAsia="Arial" w:hAnsi="Arial" w:cs="Arial"/>
                <w:sz w:val="20"/>
                <w:szCs w:val="20"/>
              </w:rPr>
              <w:t xml:space="preserve">Desarrollar protocolo para </w:t>
            </w:r>
            <w:r>
              <w:rPr>
                <w:rFonts w:ascii="Arial" w:eastAsia="Arial" w:hAnsi="Arial" w:cs="Arial"/>
                <w:sz w:val="20"/>
                <w:szCs w:val="20"/>
              </w:rPr>
              <w:t>el intercambio de información sobre denuncias y situaciones de trabajo infantil entre INAU y MTSS.Actividades de sensibilización.</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Situación de calle</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200" w:line="240" w:lineRule="auto"/>
            </w:pPr>
            <w:r>
              <w:rPr>
                <w:rFonts w:ascii="Arial" w:eastAsia="Arial" w:hAnsi="Arial" w:cs="Arial"/>
                <w:sz w:val="20"/>
                <w:szCs w:val="20"/>
              </w:rPr>
              <w:t xml:space="preserve">Efectivizar acuerdos realizados entre ANEP-INAU para la inclusión de los niños y niñas en los centros </w:t>
            </w:r>
            <w:r>
              <w:rPr>
                <w:rFonts w:ascii="Arial" w:eastAsia="Arial" w:hAnsi="Arial" w:cs="Arial"/>
                <w:sz w:val="20"/>
                <w:szCs w:val="20"/>
              </w:rPr>
              <w:t>educativos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Desinternación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120" w:line="240" w:lineRule="auto"/>
            </w:pPr>
            <w:r>
              <w:rPr>
                <w:rFonts w:ascii="Arial" w:eastAsia="Arial" w:hAnsi="Arial" w:cs="Arial"/>
                <w:color w:val="222222"/>
                <w:sz w:val="20"/>
                <w:szCs w:val="20"/>
              </w:rPr>
              <w:t>Promover y profundizar modelos de protección no residenciales, y desarrollar un eficiente sistema de apoyo y seguimiento a las familias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Dispositivos de abordaje territorial</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120" w:line="240" w:lineRule="auto"/>
            </w:pPr>
            <w:r>
              <w:rPr>
                <w:rFonts w:ascii="Arial" w:eastAsia="Arial" w:hAnsi="Arial" w:cs="Arial"/>
                <w:sz w:val="20"/>
                <w:szCs w:val="20"/>
              </w:rPr>
              <w:t>Fortalecer la capacidad de respuesta, ajustar el perf</w:t>
            </w:r>
            <w:r>
              <w:rPr>
                <w:rFonts w:ascii="Arial" w:eastAsia="Arial" w:hAnsi="Arial" w:cs="Arial"/>
                <w:sz w:val="20"/>
                <w:szCs w:val="20"/>
              </w:rPr>
              <w:t>il y ampliar cobertura de los clubes de niños.</w:t>
            </w:r>
          </w:p>
        </w:tc>
      </w:tr>
      <w:tr w:rsidR="005B5CE3">
        <w:tblPrEx>
          <w:tblCellMar>
            <w:top w:w="0" w:type="dxa"/>
            <w:bottom w:w="0" w:type="dxa"/>
          </w:tblCellMar>
        </w:tblPrEx>
        <w:tc>
          <w:tcPr>
            <w:tcW w:w="450" w:type="dxa"/>
            <w:vMerge w:val="restart"/>
            <w:tcBorders>
              <w:left w:val="single" w:sz="4" w:space="0" w:color="000001"/>
              <w:bottom w:val="single" w:sz="4" w:space="0" w:color="000001"/>
            </w:tcBorders>
            <w:shd w:val="clear" w:color="auto" w:fill="9FC5E8"/>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PARTICIPACIÓN</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c>
          <w:tcPr>
            <w:tcW w:w="450" w:type="dxa"/>
            <w:vMerge/>
            <w:tcBorders>
              <w:left w:val="single" w:sz="4" w:space="0" w:color="000001"/>
              <w:bottom w:val="single" w:sz="4" w:space="0" w:color="000001"/>
            </w:tcBorders>
            <w:shd w:val="clear" w:color="auto" w:fill="9FC5E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Derecho a la ciudad</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Mejorar el acceso a los espacios públicos y el derecho a la ciudad.</w:t>
            </w:r>
          </w:p>
        </w:tc>
      </w:tr>
      <w:tr w:rsidR="005B5CE3">
        <w:tblPrEx>
          <w:tblCellMar>
            <w:top w:w="0" w:type="dxa"/>
            <w:bottom w:w="0" w:type="dxa"/>
          </w:tblCellMar>
        </w:tblPrEx>
        <w:tc>
          <w:tcPr>
            <w:tcW w:w="450" w:type="dxa"/>
            <w:vMerge/>
            <w:tcBorders>
              <w:left w:val="single" w:sz="4" w:space="0" w:color="000001"/>
              <w:bottom w:val="single" w:sz="4" w:space="0" w:color="000001"/>
            </w:tcBorders>
            <w:shd w:val="clear" w:color="auto" w:fill="9FC5E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Participación en educación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-Repensar los Consejos de participación</w:t>
            </w:r>
            <w:r>
              <w:rPr>
                <w:rFonts w:ascii="Arial" w:eastAsia="Arial" w:hAnsi="Arial" w:cs="Arial"/>
                <w:sz w:val="20"/>
                <w:szCs w:val="20"/>
              </w:rPr>
              <w:t xml:space="preserve"> en Educación en base a una propuesta conjunta entre familias y NN.</w:t>
            </w:r>
          </w:p>
          <w:p w:rsidR="005B5CE3" w:rsidRDefault="00642485">
            <w:pPr>
              <w:pStyle w:val="Standard"/>
              <w:widowControl w:val="0"/>
              <w:spacing w:after="200" w:line="240" w:lineRule="auto"/>
            </w:pPr>
            <w:r>
              <w:rPr>
                <w:rFonts w:ascii="Arial" w:eastAsia="Arial" w:hAnsi="Arial" w:cs="Arial"/>
                <w:sz w:val="20"/>
                <w:szCs w:val="20"/>
              </w:rPr>
              <w:lastRenderedPageBreak/>
              <w:t xml:space="preserve">-Generar un espacio de coordinación de los espacios de promoción de la participación (Consejo Asesor Consultivo del Directorio de INAU con Consejos de Participación en Educación)    </w:t>
            </w:r>
          </w:p>
        </w:tc>
      </w:tr>
      <w:tr w:rsidR="005B5CE3">
        <w:tblPrEx>
          <w:tblCellMar>
            <w:top w:w="0" w:type="dxa"/>
            <w:bottom w:w="0" w:type="dxa"/>
          </w:tblCellMar>
        </w:tblPrEx>
        <w:trPr>
          <w:gridAfter w:val="1"/>
          <w:wAfter w:w="4547" w:type="dxa"/>
          <w:trHeight w:val="340"/>
        </w:trPr>
        <w:tc>
          <w:tcPr>
            <w:tcW w:w="2666" w:type="dxa"/>
            <w:gridSpan w:val="3"/>
            <w:tcBorders>
              <w:left w:val="single" w:sz="4" w:space="0" w:color="000001"/>
              <w:bottom w:val="single" w:sz="4" w:space="0" w:color="000001"/>
            </w:tcBorders>
            <w:shd w:val="clear" w:color="auto" w:fill="999999"/>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lastRenderedPageBreak/>
              <w:t>ADOL</w:t>
            </w:r>
            <w:r>
              <w:rPr>
                <w:rFonts w:ascii="Arial" w:eastAsia="Arial" w:hAnsi="Arial" w:cs="Arial"/>
                <w:b/>
                <w:sz w:val="20"/>
                <w:szCs w:val="20"/>
              </w:rPr>
              <w:t>ESCENCIA</w:t>
            </w:r>
          </w:p>
        </w:tc>
      </w:tr>
      <w:tr w:rsidR="005B5CE3">
        <w:tblPrEx>
          <w:tblCellMar>
            <w:top w:w="0" w:type="dxa"/>
            <w:bottom w:w="0" w:type="dxa"/>
          </w:tblCellMar>
        </w:tblPrEx>
        <w:trPr>
          <w:trHeight w:val="340"/>
        </w:trPr>
        <w:tc>
          <w:tcPr>
            <w:tcW w:w="450" w:type="dxa"/>
            <w:vMerge w:val="restart"/>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5B5CE3" w:rsidRDefault="005B5CE3">
            <w:pPr>
              <w:pStyle w:val="Standard"/>
              <w:widowControl w:val="0"/>
              <w:spacing w:line="240" w:lineRule="auto"/>
              <w:jc w:val="center"/>
            </w:pPr>
          </w:p>
          <w:p w:rsidR="005B5CE3" w:rsidRDefault="00642485">
            <w:pPr>
              <w:pStyle w:val="Standard"/>
              <w:widowControl w:val="0"/>
              <w:spacing w:line="240" w:lineRule="auto"/>
              <w:jc w:val="center"/>
            </w:pPr>
            <w:r>
              <w:rPr>
                <w:rFonts w:ascii="Arial" w:eastAsia="Arial" w:hAnsi="Arial" w:cs="Arial"/>
                <w:b/>
                <w:sz w:val="20"/>
                <w:szCs w:val="20"/>
              </w:rPr>
              <w:t>SALUD</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sz w:val="20"/>
                <w:szCs w:val="20"/>
              </w:rPr>
              <w:t>Siniestralidad vial</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Prevenir la siniestralidad en bi rodados mediante jornadas de capacitación a  equipos de salud y y educación.</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200" w:line="240" w:lineRule="auto"/>
              <w:jc w:val="center"/>
            </w:pPr>
            <w:r>
              <w:rPr>
                <w:rFonts w:ascii="Arial" w:eastAsia="Arial" w:hAnsi="Arial" w:cs="Arial"/>
                <w:sz w:val="20"/>
                <w:szCs w:val="20"/>
              </w:rPr>
              <w:t>Embarazo en la adolescencia</w:t>
            </w:r>
          </w:p>
        </w:tc>
        <w:tc>
          <w:tcPr>
            <w:tcW w:w="5339" w:type="dxa"/>
            <w:gridSpan w:val="2"/>
            <w:tcBorders>
              <w:top w:val="single" w:sz="8" w:space="0" w:color="000001"/>
              <w:left w:val="single" w:sz="8" w:space="0" w:color="000001"/>
              <w:bottom w:val="single" w:sz="8" w:space="0" w:color="000001"/>
              <w:right w:val="single" w:sz="8" w:space="0" w:color="000001"/>
            </w:tcBorders>
            <w:shd w:val="clear" w:color="auto" w:fill="FFFFFF"/>
            <w:tcMar>
              <w:top w:w="0" w:type="dxa"/>
              <w:left w:w="108" w:type="dxa"/>
              <w:bottom w:w="0" w:type="dxa"/>
              <w:right w:w="108" w:type="dxa"/>
            </w:tcMar>
          </w:tcPr>
          <w:p w:rsidR="005B5CE3" w:rsidRDefault="00642485">
            <w:pPr>
              <w:pStyle w:val="Standard"/>
              <w:spacing w:after="200" w:line="240" w:lineRule="auto"/>
            </w:pPr>
            <w:r>
              <w:rPr>
                <w:rFonts w:ascii="Arial" w:eastAsia="Arial" w:hAnsi="Arial" w:cs="Arial"/>
                <w:sz w:val="20"/>
                <w:szCs w:val="20"/>
              </w:rPr>
              <w:t xml:space="preserve">Universalizar la accesibilidad a los </w:t>
            </w:r>
            <w:r>
              <w:rPr>
                <w:rFonts w:ascii="Arial" w:eastAsia="Arial" w:hAnsi="Arial" w:cs="Arial"/>
                <w:sz w:val="20"/>
                <w:szCs w:val="20"/>
              </w:rPr>
              <w:t>métodos anticonceptivos y promuever el disfrute de la sexualidad. Proveer métodos anticonceptivos en ámbitos comunitarios, educativos y laborales y flexibilizar los mecanismos de acceso.                                                                   Dis</w:t>
            </w:r>
            <w:r>
              <w:rPr>
                <w:rFonts w:ascii="Arial" w:eastAsia="Arial" w:hAnsi="Arial" w:cs="Arial"/>
                <w:sz w:val="20"/>
                <w:szCs w:val="20"/>
              </w:rPr>
              <w:t>minuir la incidencia del embarazo en la adolescencia y promover un acompañamiento adecuado de la maternidad/paternidad. Difundir a aplicar la normativa de la ANEP para estudiantes embarazadas.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200" w:line="240" w:lineRule="auto"/>
              <w:jc w:val="center"/>
            </w:pPr>
            <w:r>
              <w:rPr>
                <w:rFonts w:ascii="Arial" w:eastAsia="Arial" w:hAnsi="Arial" w:cs="Arial"/>
                <w:sz w:val="20"/>
                <w:szCs w:val="20"/>
              </w:rPr>
              <w:t xml:space="preserve">Prevención del HIV y consumo problemático de sustancias </w:t>
            </w:r>
            <w:r>
              <w:rPr>
                <w:rFonts w:ascii="Arial" w:eastAsia="Arial" w:hAnsi="Arial" w:cs="Arial"/>
                <w:sz w:val="20"/>
                <w:szCs w:val="20"/>
              </w:rPr>
              <w:t>psicoactivas</w:t>
            </w:r>
          </w:p>
        </w:tc>
        <w:tc>
          <w:tcPr>
            <w:tcW w:w="5339" w:type="dxa"/>
            <w:gridSpan w:val="2"/>
            <w:tcBorders>
              <w:top w:val="single" w:sz="8" w:space="0" w:color="000001"/>
              <w:left w:val="single" w:sz="8" w:space="0" w:color="000001"/>
              <w:bottom w:val="single" w:sz="8" w:space="0" w:color="000001"/>
              <w:right w:val="single" w:sz="8" w:space="0" w:color="000001"/>
            </w:tcBorders>
            <w:shd w:val="clear" w:color="auto" w:fill="FFFFFF"/>
            <w:tcMar>
              <w:top w:w="0" w:type="dxa"/>
              <w:left w:w="108" w:type="dxa"/>
              <w:bottom w:w="0" w:type="dxa"/>
              <w:right w:w="108" w:type="dxa"/>
            </w:tcMar>
          </w:tcPr>
          <w:p w:rsidR="005B5CE3" w:rsidRDefault="00642485">
            <w:pPr>
              <w:pStyle w:val="Standard"/>
              <w:spacing w:after="200" w:line="240" w:lineRule="auto"/>
            </w:pPr>
            <w:r>
              <w:rPr>
                <w:rFonts w:ascii="Arial" w:eastAsia="Arial" w:hAnsi="Arial" w:cs="Arial"/>
                <w:sz w:val="20"/>
                <w:szCs w:val="20"/>
              </w:rPr>
              <w:t xml:space="preserve">Promover </w:t>
            </w:r>
            <w:r>
              <w:rPr>
                <w:rFonts w:ascii="Arial" w:eastAsia="Arial" w:hAnsi="Arial" w:cs="Arial"/>
                <w:sz w:val="16"/>
                <w:szCs w:val="16"/>
              </w:rPr>
              <w:t>l</w:t>
            </w:r>
            <w:r>
              <w:rPr>
                <w:rFonts w:ascii="Arial" w:eastAsia="Arial" w:hAnsi="Arial" w:cs="Arial"/>
                <w:sz w:val="20"/>
                <w:szCs w:val="20"/>
              </w:rPr>
              <w:t xml:space="preserve">os controles de salud en relación a la prevención del HIV  Incorporar la temática de prevención de usos problemáticos de sustancias en el sistema de educación formal.                                                       </w:t>
            </w:r>
          </w:p>
          <w:p w:rsidR="005B5CE3" w:rsidRDefault="00642485">
            <w:pPr>
              <w:pStyle w:val="Standard"/>
              <w:spacing w:after="200" w:line="240" w:lineRule="auto"/>
            </w:pPr>
            <w:r>
              <w:rPr>
                <w:rFonts w:ascii="Arial" w:eastAsia="Arial" w:hAnsi="Arial" w:cs="Arial"/>
                <w:sz w:val="20"/>
                <w:szCs w:val="20"/>
              </w:rPr>
              <w:t xml:space="preserve">Fortalecer </w:t>
            </w:r>
            <w:r>
              <w:rPr>
                <w:rFonts w:ascii="Arial" w:eastAsia="Arial" w:hAnsi="Arial" w:cs="Arial"/>
                <w:sz w:val="20"/>
                <w:szCs w:val="20"/>
              </w:rPr>
              <w:t>la Red Nacional de Atención y Tratamiento en Drogas.          Reducir la prevalencia de los riesgos y daños sanitarios asociados al consumo de alcohol y cannabis y disminuir su consumo</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right w:val="single" w:sz="4" w:space="0" w:color="000001"/>
            </w:tcBorders>
            <w:shd w:val="clear" w:color="auto" w:fill="B6D7A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200" w:line="240" w:lineRule="auto"/>
              <w:jc w:val="left"/>
            </w:pPr>
            <w:r>
              <w:rPr>
                <w:rFonts w:ascii="Arial" w:eastAsia="Arial" w:hAnsi="Arial" w:cs="Arial"/>
                <w:sz w:val="20"/>
                <w:szCs w:val="20"/>
              </w:rPr>
              <w:t>Salud mental</w:t>
            </w:r>
          </w:p>
        </w:tc>
        <w:tc>
          <w:tcPr>
            <w:tcW w:w="5339" w:type="dxa"/>
            <w:gridSpan w:val="2"/>
            <w:tcBorders>
              <w:top w:val="single" w:sz="8" w:space="0" w:color="000001"/>
              <w:left w:val="single" w:sz="8" w:space="0" w:color="000001"/>
              <w:bottom w:val="single" w:sz="8" w:space="0" w:color="000001"/>
              <w:right w:val="single" w:sz="8" w:space="0" w:color="000001"/>
            </w:tcBorders>
            <w:shd w:val="clear" w:color="auto" w:fill="FFFFFF"/>
            <w:tcMar>
              <w:top w:w="0" w:type="dxa"/>
              <w:left w:w="108" w:type="dxa"/>
              <w:bottom w:w="0" w:type="dxa"/>
              <w:right w:w="108" w:type="dxa"/>
            </w:tcMar>
          </w:tcPr>
          <w:p w:rsidR="005B5CE3" w:rsidRDefault="00642485">
            <w:pPr>
              <w:pStyle w:val="Standard"/>
              <w:spacing w:after="200" w:line="240" w:lineRule="auto"/>
            </w:pPr>
            <w:r>
              <w:rPr>
                <w:rFonts w:ascii="Arial" w:eastAsia="Arial" w:hAnsi="Arial" w:cs="Arial"/>
                <w:sz w:val="20"/>
                <w:szCs w:val="20"/>
              </w:rPr>
              <w:t>Analizar la demanda y reconfigurar los servicios de inte</w:t>
            </w:r>
            <w:r>
              <w:rPr>
                <w:rFonts w:ascii="Arial" w:eastAsia="Arial" w:hAnsi="Arial" w:cs="Arial"/>
                <w:sz w:val="20"/>
                <w:szCs w:val="20"/>
              </w:rPr>
              <w:t>rnación psiquiátrica para menores de 18 años implementados por INAU.                           Formular e implementar nuevas respuestas en base a los resultados del estudio</w:t>
            </w:r>
          </w:p>
        </w:tc>
      </w:tr>
      <w:tr w:rsidR="005B5CE3">
        <w:tblPrEx>
          <w:tblCellMar>
            <w:top w:w="0" w:type="dxa"/>
            <w:bottom w:w="0" w:type="dxa"/>
          </w:tblCellMar>
        </w:tblPrEx>
        <w:trPr>
          <w:trHeight w:val="340"/>
        </w:trPr>
        <w:tc>
          <w:tcPr>
            <w:tcW w:w="450" w:type="dxa"/>
            <w:vMerge w:val="restart"/>
            <w:tcBorders>
              <w:top w:val="single" w:sz="4" w:space="0" w:color="000001"/>
              <w:left w:val="single" w:sz="4" w:space="0" w:color="000001"/>
              <w:bottom w:val="single" w:sz="4" w:space="0" w:color="000001"/>
              <w:right w:val="single" w:sz="4" w:space="0" w:color="000001"/>
            </w:tcBorders>
            <w:shd w:val="clear" w:color="auto" w:fill="F9CB9C"/>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left"/>
            </w:pPr>
            <w:r>
              <w:rPr>
                <w:rFonts w:ascii="Arial" w:eastAsia="Arial" w:hAnsi="Arial" w:cs="Arial"/>
                <w:b/>
                <w:sz w:val="20"/>
                <w:szCs w:val="20"/>
              </w:rPr>
              <w:t>EDUCACIÓN</w:t>
            </w:r>
          </w:p>
        </w:tc>
        <w:tc>
          <w:tcPr>
            <w:tcW w:w="1424" w:type="dxa"/>
            <w:tcBorders>
              <w:left w:val="single" w:sz="4" w:space="0" w:color="000001"/>
              <w:bottom w:val="single" w:sz="4" w:space="0" w:color="000001"/>
            </w:tcBorders>
            <w:shd w:val="clear" w:color="auto" w:fill="B7B7B7"/>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B7B7B7"/>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40"/>
        </w:trPr>
        <w:tc>
          <w:tcPr>
            <w:tcW w:w="450" w:type="dxa"/>
            <w:vMerge/>
            <w:tcBorders>
              <w:top w:val="single" w:sz="4" w:space="0" w:color="000001"/>
              <w:left w:val="single" w:sz="4" w:space="0" w:color="000001"/>
              <w:bottom w:val="single" w:sz="4" w:space="0" w:color="000001"/>
              <w:right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Trayectorias educativas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 xml:space="preserve">Fortalecer </w:t>
            </w:r>
            <w:r>
              <w:rPr>
                <w:rFonts w:ascii="Arial" w:eastAsia="Arial" w:hAnsi="Arial" w:cs="Arial"/>
                <w:sz w:val="20"/>
                <w:szCs w:val="20"/>
              </w:rPr>
              <w:t>el tránsito entre primaria y EMB para fortalecer la vinculación temprana de los estudiantes de primer año de EMB al centro educativo. Fortalecer la articulación con el MIDES, a través de la ampliación de tutorías,  de ampliación de horas para el Acompañami</w:t>
            </w:r>
            <w:r>
              <w:rPr>
                <w:rFonts w:ascii="Arial" w:eastAsia="Arial" w:hAnsi="Arial" w:cs="Arial"/>
                <w:sz w:val="20"/>
                <w:szCs w:val="20"/>
              </w:rPr>
              <w:t xml:space="preserve">ento Pedagógico a las Trayectorias Estudiantiles y el fortalecimiento de los Departamentos del Estudiante en CES y CETP.                                                          </w:t>
            </w:r>
          </w:p>
          <w:p w:rsidR="005B5CE3" w:rsidRDefault="00642485">
            <w:pPr>
              <w:pStyle w:val="Standard"/>
              <w:widowControl w:val="0"/>
              <w:spacing w:after="200" w:line="240" w:lineRule="auto"/>
            </w:pPr>
            <w:r>
              <w:rPr>
                <w:rFonts w:ascii="Arial" w:eastAsia="Arial" w:hAnsi="Arial" w:cs="Arial"/>
                <w:sz w:val="20"/>
                <w:szCs w:val="20"/>
              </w:rPr>
              <w:t xml:space="preserve">Consolidar el Sistema Nacional de Seguimiento de Alumnos (SENDA) entre CEIP, </w:t>
            </w:r>
            <w:r>
              <w:rPr>
                <w:rFonts w:ascii="Arial" w:eastAsia="Arial" w:hAnsi="Arial" w:cs="Arial"/>
                <w:sz w:val="20"/>
                <w:szCs w:val="20"/>
              </w:rPr>
              <w:t>CES y CETP tanto para los centros públicos como privados. para detectar de forma oportuna situaciones de vulnerabilidad educativa</w:t>
            </w:r>
          </w:p>
        </w:tc>
      </w:tr>
      <w:tr w:rsidR="005B5CE3">
        <w:tblPrEx>
          <w:tblCellMar>
            <w:top w:w="0" w:type="dxa"/>
            <w:bottom w:w="0" w:type="dxa"/>
          </w:tblCellMar>
        </w:tblPrEx>
        <w:trPr>
          <w:trHeight w:val="340"/>
        </w:trPr>
        <w:tc>
          <w:tcPr>
            <w:tcW w:w="450" w:type="dxa"/>
            <w:vMerge/>
            <w:tcBorders>
              <w:top w:val="single" w:sz="4" w:space="0" w:color="000001"/>
              <w:left w:val="single" w:sz="4" w:space="0" w:color="000001"/>
              <w:bottom w:val="single" w:sz="4" w:space="0" w:color="000001"/>
              <w:right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center"/>
            </w:pPr>
            <w:r>
              <w:rPr>
                <w:rFonts w:ascii="Arial" w:eastAsia="Arial" w:hAnsi="Arial" w:cs="Arial"/>
                <w:sz w:val="20"/>
                <w:szCs w:val="20"/>
              </w:rPr>
              <w:t>Ampliación y diversificación de la oferta educativa</w:t>
            </w:r>
          </w:p>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 xml:space="preserve">Crear liceos de Tiempo Completo y Tiempo Extendido en el CES. </w:t>
            </w:r>
            <w:r>
              <w:rPr>
                <w:rFonts w:ascii="Arial" w:eastAsia="Arial" w:hAnsi="Arial" w:cs="Arial"/>
                <w:sz w:val="20"/>
                <w:szCs w:val="20"/>
              </w:rPr>
              <w:t>Implementar el Plan 2016.</w:t>
            </w:r>
          </w:p>
          <w:p w:rsidR="005B5CE3" w:rsidRDefault="00642485">
            <w:pPr>
              <w:pStyle w:val="Standard"/>
              <w:widowControl w:val="0"/>
              <w:spacing w:after="200" w:line="240" w:lineRule="auto"/>
            </w:pPr>
            <w:r>
              <w:rPr>
                <w:rFonts w:ascii="Arial" w:eastAsia="Arial" w:hAnsi="Arial" w:cs="Arial"/>
                <w:sz w:val="20"/>
                <w:szCs w:val="20"/>
              </w:rPr>
              <w:t>Ampliar la propuesta de educación media superior y tiempo extendido en el CETP. Construir nuevos locales destinados a enseñanza media tecnológica.Ampliar la propuesta de FPBC.Ampliar la cobertura de los Centros Educativos Comunita</w:t>
            </w:r>
            <w:r>
              <w:rPr>
                <w:rFonts w:ascii="Arial" w:eastAsia="Arial" w:hAnsi="Arial" w:cs="Arial"/>
                <w:sz w:val="20"/>
                <w:szCs w:val="20"/>
              </w:rPr>
              <w:t>rios</w:t>
            </w:r>
          </w:p>
        </w:tc>
      </w:tr>
      <w:tr w:rsidR="005B5CE3">
        <w:tblPrEx>
          <w:tblCellMar>
            <w:top w:w="0" w:type="dxa"/>
            <w:bottom w:w="0" w:type="dxa"/>
          </w:tblCellMar>
        </w:tblPrEx>
        <w:trPr>
          <w:trHeight w:val="340"/>
        </w:trPr>
        <w:tc>
          <w:tcPr>
            <w:tcW w:w="450" w:type="dxa"/>
            <w:vMerge/>
            <w:tcBorders>
              <w:top w:val="single" w:sz="4" w:space="0" w:color="000001"/>
              <w:left w:val="single" w:sz="4" w:space="0" w:color="000001"/>
              <w:bottom w:val="single" w:sz="4" w:space="0" w:color="000001"/>
              <w:right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 xml:space="preserve">Promover la articulación a la interna de la ANEP y con diferentes </w:t>
            </w:r>
            <w:r>
              <w:rPr>
                <w:rFonts w:ascii="Arial" w:eastAsia="Arial" w:hAnsi="Arial" w:cs="Arial"/>
                <w:sz w:val="20"/>
                <w:szCs w:val="20"/>
              </w:rPr>
              <w:lastRenderedPageBreak/>
              <w:t>actores del territorio</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lastRenderedPageBreak/>
              <w:t>Implementar la estrategia de Territorios Socio-Educativos.</w:t>
            </w:r>
          </w:p>
        </w:tc>
      </w:tr>
      <w:tr w:rsidR="005B5CE3">
        <w:tblPrEx>
          <w:tblCellMar>
            <w:top w:w="0" w:type="dxa"/>
            <w:bottom w:w="0" w:type="dxa"/>
          </w:tblCellMar>
        </w:tblPrEx>
        <w:trPr>
          <w:trHeight w:val="340"/>
        </w:trPr>
        <w:tc>
          <w:tcPr>
            <w:tcW w:w="450" w:type="dxa"/>
            <w:vMerge/>
            <w:tcBorders>
              <w:top w:val="single" w:sz="4" w:space="0" w:color="000001"/>
              <w:left w:val="single" w:sz="4" w:space="0" w:color="000001"/>
              <w:bottom w:val="single" w:sz="4" w:space="0" w:color="000001"/>
              <w:right w:val="single" w:sz="4" w:space="0" w:color="000001"/>
            </w:tcBorders>
            <w:shd w:val="clear" w:color="auto" w:fill="F9CB9C"/>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Duplicar el egreso en bachillerato</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 xml:space="preserve">Ampliar el Programa Marta Averbug a más liceos y fortalecer el </w:t>
            </w:r>
            <w:r>
              <w:rPr>
                <w:rFonts w:ascii="Arial" w:eastAsia="Arial" w:hAnsi="Arial" w:cs="Arial"/>
                <w:sz w:val="20"/>
                <w:szCs w:val="20"/>
              </w:rPr>
              <w:t>Programa Uruguay Estudia</w:t>
            </w:r>
          </w:p>
          <w:p w:rsidR="005B5CE3" w:rsidRDefault="005B5CE3">
            <w:pPr>
              <w:pStyle w:val="Standard"/>
              <w:widowControl w:val="0"/>
              <w:spacing w:line="240" w:lineRule="auto"/>
              <w:jc w:val="left"/>
            </w:pPr>
          </w:p>
        </w:tc>
      </w:tr>
      <w:tr w:rsidR="005B5CE3">
        <w:tblPrEx>
          <w:tblCellMar>
            <w:top w:w="0" w:type="dxa"/>
            <w:bottom w:w="0" w:type="dxa"/>
          </w:tblCellMar>
        </w:tblPrEx>
        <w:trPr>
          <w:trHeight w:val="340"/>
        </w:trPr>
        <w:tc>
          <w:tcPr>
            <w:tcW w:w="450" w:type="dxa"/>
            <w:tcBorders>
              <w:left w:val="single" w:sz="4" w:space="0" w:color="000001"/>
              <w:bottom w:val="single" w:sz="4" w:space="0" w:color="000001"/>
              <w:right w:val="single" w:sz="4" w:space="0" w:color="000001"/>
            </w:tcBorders>
            <w:shd w:val="clear" w:color="auto" w:fill="F9CB9C"/>
            <w:tcMar>
              <w:top w:w="0" w:type="dxa"/>
              <w:left w:w="108" w:type="dxa"/>
              <w:bottom w:w="0" w:type="dxa"/>
              <w:right w:w="108" w:type="dxa"/>
            </w:tcMar>
          </w:tcPr>
          <w:p w:rsidR="005B5CE3" w:rsidRDefault="005B5CE3">
            <w:pPr>
              <w:pStyle w:val="Standard"/>
              <w:widowControl w:val="0"/>
              <w:spacing w:line="240" w:lineRule="auto"/>
              <w:jc w:val="cente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Inclusión educativa</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spacing w:after="200" w:line="240" w:lineRule="auto"/>
            </w:pPr>
            <w:r>
              <w:rPr>
                <w:rFonts w:ascii="Arial" w:eastAsia="Arial" w:hAnsi="Arial" w:cs="Arial"/>
                <w:sz w:val="20"/>
                <w:szCs w:val="20"/>
              </w:rPr>
              <w:t xml:space="preserve">Profundizar la experiencia de Centros para estudiantes con baja visión y ciegos a través del </w:t>
            </w:r>
            <w:r>
              <w:rPr>
                <w:rFonts w:ascii="Arial" w:eastAsia="Arial" w:hAnsi="Arial" w:cs="Arial"/>
                <w:sz w:val="16"/>
                <w:szCs w:val="16"/>
              </w:rPr>
              <w:t xml:space="preserve"> </w:t>
            </w:r>
            <w:r>
              <w:rPr>
                <w:rFonts w:ascii="Arial" w:eastAsia="Arial" w:hAnsi="Arial" w:cs="Arial"/>
                <w:sz w:val="20"/>
                <w:szCs w:val="20"/>
              </w:rPr>
              <w:t>centro de recursos para estudiantes sordos, ciegos y con baja visión y el diseño de módulos de aprendizaje.</w:t>
            </w:r>
          </w:p>
        </w:tc>
      </w:tr>
      <w:tr w:rsidR="005B5CE3">
        <w:tblPrEx>
          <w:tblCellMar>
            <w:top w:w="0" w:type="dxa"/>
            <w:bottom w:w="0" w:type="dxa"/>
          </w:tblCellMar>
        </w:tblPrEx>
        <w:trPr>
          <w:trHeight w:val="340"/>
        </w:trPr>
        <w:tc>
          <w:tcPr>
            <w:tcW w:w="450" w:type="dxa"/>
            <w:vMerge w:val="restart"/>
            <w:tcBorders>
              <w:top w:val="single" w:sz="4" w:space="0" w:color="000001"/>
              <w:left w:val="single" w:sz="4" w:space="0" w:color="000001"/>
              <w:bottom w:val="single" w:sz="4" w:space="0" w:color="000001"/>
              <w:right w:val="single" w:sz="4" w:space="0" w:color="000001"/>
            </w:tcBorders>
            <w:shd w:val="clear" w:color="auto" w:fill="B4A7D6"/>
            <w:tcMar>
              <w:top w:w="0" w:type="dxa"/>
              <w:left w:w="108" w:type="dxa"/>
              <w:bottom w:w="0" w:type="dxa"/>
              <w:right w:w="108" w:type="dxa"/>
            </w:tcMar>
          </w:tcPr>
          <w:p w:rsidR="005B5CE3" w:rsidRDefault="005B5CE3">
            <w:pPr>
              <w:pStyle w:val="Standard"/>
              <w:widowControl w:val="0"/>
              <w:spacing w:line="240" w:lineRule="auto"/>
              <w:jc w:val="left"/>
            </w:pPr>
          </w:p>
          <w:p w:rsidR="005B5CE3" w:rsidRDefault="005B5CE3">
            <w:pPr>
              <w:pStyle w:val="Standard"/>
              <w:widowControl w:val="0"/>
              <w:spacing w:line="240" w:lineRule="auto"/>
              <w:jc w:val="left"/>
            </w:pPr>
          </w:p>
          <w:p w:rsidR="005B5CE3" w:rsidRDefault="00642485">
            <w:pPr>
              <w:pStyle w:val="Standard"/>
              <w:widowControl w:val="0"/>
              <w:spacing w:line="240" w:lineRule="auto"/>
              <w:jc w:val="center"/>
            </w:pPr>
            <w:r>
              <w:rPr>
                <w:rFonts w:ascii="Arial" w:eastAsia="Arial" w:hAnsi="Arial" w:cs="Arial"/>
                <w:b/>
                <w:sz w:val="20"/>
                <w:szCs w:val="20"/>
              </w:rPr>
              <w:t>VIOLENCIA</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40"/>
        </w:trPr>
        <w:tc>
          <w:tcPr>
            <w:tcW w:w="450" w:type="dxa"/>
            <w:vMerge/>
            <w:tcBorders>
              <w:top w:val="single" w:sz="4" w:space="0" w:color="000001"/>
              <w:left w:val="single" w:sz="4" w:space="0" w:color="000001"/>
              <w:bottom w:val="single" w:sz="4" w:space="0" w:color="000001"/>
              <w:right w:val="single" w:sz="4" w:space="0" w:color="000001"/>
            </w:tcBorders>
            <w:shd w:val="clear" w:color="auto" w:fill="B4A7D6"/>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Violencia de género y generaciones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 xml:space="preserve">Capacitar, sensibilizar en la temática a diferentes profesionales que trabajan con NNA. Crear 5 nuevos dispositivos específicos de proximidad para la atención a VBGG Realizar </w:t>
            </w:r>
            <w:r>
              <w:rPr>
                <w:rFonts w:ascii="Arial" w:eastAsia="Arial" w:hAnsi="Arial" w:cs="Arial"/>
                <w:sz w:val="20"/>
                <w:szCs w:val="20"/>
              </w:rPr>
              <w:t>campañas de concientización Implementar el Plan “100 acciones acordadas para la erradicación de la explotación sexual comercial de niñas, niños y adolescentes en Uruguay (2015-2020)” de CONAPEES. Implementar el II Plan Nacional SIPIAV</w:t>
            </w:r>
          </w:p>
        </w:tc>
      </w:tr>
      <w:tr w:rsidR="005B5CE3">
        <w:tblPrEx>
          <w:tblCellMar>
            <w:top w:w="0" w:type="dxa"/>
            <w:bottom w:w="0" w:type="dxa"/>
          </w:tblCellMar>
        </w:tblPrEx>
        <w:trPr>
          <w:trHeight w:val="340"/>
        </w:trPr>
        <w:tc>
          <w:tcPr>
            <w:tcW w:w="450" w:type="dxa"/>
            <w:vMerge/>
            <w:tcBorders>
              <w:top w:val="single" w:sz="4" w:space="0" w:color="000001"/>
              <w:left w:val="single" w:sz="4" w:space="0" w:color="000001"/>
              <w:bottom w:val="single" w:sz="4" w:space="0" w:color="000001"/>
              <w:right w:val="single" w:sz="4" w:space="0" w:color="000001"/>
            </w:tcBorders>
            <w:shd w:val="clear" w:color="auto" w:fill="B4A7D6"/>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sz w:val="20"/>
                <w:szCs w:val="20"/>
              </w:rPr>
              <w:t xml:space="preserve">Fortalecer las </w:t>
            </w:r>
            <w:r>
              <w:rPr>
                <w:rFonts w:ascii="Arial" w:eastAsia="Arial" w:hAnsi="Arial" w:cs="Arial"/>
                <w:sz w:val="20"/>
                <w:szCs w:val="20"/>
              </w:rPr>
              <w:t>articulaciones interinstitucionales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pPr>
            <w:r>
              <w:rPr>
                <w:rFonts w:ascii="Arial" w:eastAsia="Arial" w:hAnsi="Arial" w:cs="Arial"/>
                <w:sz w:val="20"/>
                <w:szCs w:val="20"/>
              </w:rPr>
              <w:t>Crear un servicio de reparación del daño de NNA, funcionarios/as y familia que se han visto involucrados en situaciones de violencia institucional en el sistema de protección 24 hs.</w:t>
            </w:r>
          </w:p>
          <w:p w:rsidR="005B5CE3" w:rsidRDefault="005B5CE3">
            <w:pPr>
              <w:pStyle w:val="Standard"/>
              <w:widowControl w:val="0"/>
              <w:spacing w:line="240" w:lineRule="auto"/>
            </w:pPr>
          </w:p>
          <w:p w:rsidR="005B5CE3" w:rsidRDefault="00642485">
            <w:pPr>
              <w:pStyle w:val="Standard"/>
              <w:widowControl w:val="0"/>
              <w:spacing w:line="240" w:lineRule="auto"/>
            </w:pPr>
            <w:r>
              <w:rPr>
                <w:rFonts w:ascii="Arial" w:eastAsia="Arial" w:hAnsi="Arial" w:cs="Arial"/>
                <w:sz w:val="20"/>
                <w:szCs w:val="20"/>
              </w:rPr>
              <w:t>Crear un servicio de recepción de den</w:t>
            </w:r>
            <w:r>
              <w:rPr>
                <w:rFonts w:ascii="Arial" w:eastAsia="Arial" w:hAnsi="Arial" w:cs="Arial"/>
                <w:sz w:val="20"/>
                <w:szCs w:val="20"/>
              </w:rPr>
              <w:t>uncias, atención y protección ante situaciones que pudieran configurar violencia institucional</w:t>
            </w:r>
          </w:p>
          <w:p w:rsidR="005B5CE3" w:rsidRDefault="005B5CE3">
            <w:pPr>
              <w:pStyle w:val="Standard"/>
              <w:widowControl w:val="0"/>
              <w:spacing w:line="240" w:lineRule="auto"/>
              <w:jc w:val="left"/>
            </w:pPr>
          </w:p>
        </w:tc>
      </w:tr>
      <w:tr w:rsidR="005B5CE3">
        <w:tblPrEx>
          <w:tblCellMar>
            <w:top w:w="0" w:type="dxa"/>
            <w:bottom w:w="0" w:type="dxa"/>
          </w:tblCellMar>
        </w:tblPrEx>
        <w:trPr>
          <w:trHeight w:val="340"/>
        </w:trPr>
        <w:tc>
          <w:tcPr>
            <w:tcW w:w="450" w:type="dxa"/>
            <w:vMerge w:val="restart"/>
            <w:tcBorders>
              <w:left w:val="single" w:sz="4" w:space="0" w:color="000001"/>
              <w:bottom w:val="single" w:sz="4" w:space="0" w:color="000001"/>
            </w:tcBorders>
            <w:shd w:val="clear" w:color="auto" w:fill="A2C4C9"/>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VULNERABILIDAD</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5B5CE3">
            <w:pPr>
              <w:pStyle w:val="Standard"/>
              <w:widowControl w:val="0"/>
              <w:spacing w:line="240" w:lineRule="auto"/>
              <w:jc w:val="left"/>
            </w:pPr>
          </w:p>
          <w:p w:rsidR="005B5CE3" w:rsidRDefault="00642485">
            <w:pPr>
              <w:pStyle w:val="Standard"/>
              <w:widowControl w:val="0"/>
              <w:spacing w:line="240" w:lineRule="auto"/>
              <w:jc w:val="center"/>
            </w:pPr>
            <w:r>
              <w:rPr>
                <w:rFonts w:ascii="Arial" w:eastAsia="Arial" w:hAnsi="Arial" w:cs="Arial"/>
                <w:sz w:val="20"/>
                <w:szCs w:val="20"/>
              </w:rPr>
              <w:t>Adolescentes privados de libertad</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pPr>
            <w:r>
              <w:rPr>
                <w:rFonts w:ascii="Arial" w:eastAsia="Arial" w:hAnsi="Arial" w:cs="Arial"/>
                <w:sz w:val="20"/>
                <w:szCs w:val="20"/>
              </w:rPr>
              <w:t>Unificar el modelo de medidas alternativas a la privación de libertad.</w:t>
            </w:r>
          </w:p>
          <w:p w:rsidR="005B5CE3" w:rsidRDefault="00642485">
            <w:pPr>
              <w:pStyle w:val="Standard"/>
              <w:spacing w:after="200" w:line="240" w:lineRule="auto"/>
            </w:pPr>
            <w:r>
              <w:rPr>
                <w:rFonts w:ascii="Arial" w:eastAsia="Arial" w:hAnsi="Arial" w:cs="Arial"/>
                <w:sz w:val="20"/>
                <w:szCs w:val="20"/>
              </w:rPr>
              <w:t>a</w:t>
            </w:r>
            <w:r>
              <w:rPr>
                <w:rFonts w:ascii="Arial" w:eastAsia="Arial" w:hAnsi="Arial" w:cs="Arial"/>
                <w:sz w:val="20"/>
                <w:szCs w:val="20"/>
              </w:rPr>
              <w:t xml:space="preserve"> través de la ampliación del espectro de medidas sustitutivas y priorizar las actividades comunitarias en detrimento de la privación de libertad.</w:t>
            </w:r>
          </w:p>
          <w:p w:rsidR="005B5CE3" w:rsidRDefault="00642485">
            <w:pPr>
              <w:pStyle w:val="Standard"/>
              <w:spacing w:after="200" w:line="240" w:lineRule="auto"/>
            </w:pPr>
            <w:r>
              <w:rPr>
                <w:rFonts w:ascii="Arial" w:eastAsia="Arial" w:hAnsi="Arial" w:cs="Arial"/>
                <w:sz w:val="20"/>
                <w:szCs w:val="20"/>
              </w:rPr>
              <w:t>Articular con el Poder Judicial y mejorar las condiciones de los centros de privación de libertad.</w:t>
            </w:r>
          </w:p>
          <w:p w:rsidR="005B5CE3" w:rsidRDefault="00642485">
            <w:pPr>
              <w:pStyle w:val="Standard"/>
              <w:spacing w:after="200" w:line="240" w:lineRule="auto"/>
            </w:pPr>
            <w:r>
              <w:rPr>
                <w:rFonts w:ascii="Arial" w:eastAsia="Arial" w:hAnsi="Arial" w:cs="Arial"/>
                <w:sz w:val="20"/>
                <w:szCs w:val="20"/>
              </w:rPr>
              <w:t>Acompañamie</w:t>
            </w:r>
            <w:r>
              <w:rPr>
                <w:rFonts w:ascii="Arial" w:eastAsia="Arial" w:hAnsi="Arial" w:cs="Arial"/>
                <w:sz w:val="20"/>
                <w:szCs w:val="20"/>
              </w:rPr>
              <w:t>nto al egreso de adolescentes privados de libertad a través de la implementación del PISC</w:t>
            </w:r>
          </w:p>
        </w:tc>
      </w:tr>
      <w:tr w:rsidR="005B5CE3">
        <w:tblPrEx>
          <w:tblCellMar>
            <w:top w:w="0" w:type="dxa"/>
            <w:bottom w:w="0" w:type="dxa"/>
          </w:tblCellMar>
        </w:tblPrEx>
        <w:trPr>
          <w:trHeight w:val="80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sz w:val="20"/>
                <w:szCs w:val="20"/>
              </w:rPr>
              <w:t>Trabajos peligrosos en la adolescencia</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120" w:line="240" w:lineRule="auto"/>
            </w:pPr>
            <w:r>
              <w:rPr>
                <w:rFonts w:ascii="Arial" w:eastAsia="Arial" w:hAnsi="Arial" w:cs="Arial"/>
                <w:sz w:val="20"/>
                <w:szCs w:val="20"/>
              </w:rPr>
              <w:t xml:space="preserve">Aumentar la formalización del trabajo adolescente permitido mediante la ampliación de la cobertura del Permiso Laboral de </w:t>
            </w:r>
            <w:r>
              <w:rPr>
                <w:rFonts w:ascii="Arial" w:eastAsia="Arial" w:hAnsi="Arial" w:cs="Arial"/>
                <w:sz w:val="20"/>
                <w:szCs w:val="20"/>
              </w:rPr>
              <w:t xml:space="preserve">INAU con foco en el medio rural.                        </w:t>
            </w:r>
          </w:p>
          <w:p w:rsidR="005B5CE3" w:rsidRDefault="00642485">
            <w:pPr>
              <w:pStyle w:val="Standard"/>
              <w:widowControl w:val="0"/>
              <w:spacing w:after="120" w:line="240" w:lineRule="auto"/>
            </w:pPr>
            <w:r>
              <w:rPr>
                <w:rFonts w:ascii="Arial" w:eastAsia="Arial" w:hAnsi="Arial" w:cs="Arial"/>
                <w:sz w:val="20"/>
                <w:szCs w:val="20"/>
              </w:rPr>
              <w:t xml:space="preserve">Fortalecer la fiscalización del trabajo a través de la articulación de las Inspecciones de MTSS e INAU.   </w:t>
            </w:r>
            <w:r>
              <w:rPr>
                <w:rFonts w:ascii="Arial" w:eastAsia="Arial" w:hAnsi="Arial" w:cs="Arial"/>
                <w:sz w:val="16"/>
                <w:szCs w:val="16"/>
              </w:rPr>
              <w:t xml:space="preserve">       </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A2C4C9"/>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sz w:val="20"/>
                <w:szCs w:val="20"/>
              </w:rPr>
              <w:t>Desinternación</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120" w:line="240" w:lineRule="auto"/>
            </w:pPr>
            <w:r>
              <w:rPr>
                <w:rFonts w:ascii="Arial" w:eastAsia="Arial" w:hAnsi="Arial" w:cs="Arial"/>
                <w:sz w:val="20"/>
                <w:szCs w:val="20"/>
              </w:rPr>
              <w:t xml:space="preserve">Desarrollar estrategias de egreso y autonomía del sistema INAU a </w:t>
            </w:r>
            <w:r>
              <w:rPr>
                <w:rFonts w:ascii="Arial" w:eastAsia="Arial" w:hAnsi="Arial" w:cs="Arial"/>
                <w:sz w:val="20"/>
                <w:szCs w:val="20"/>
              </w:rPr>
              <w:t>través de unificar y flexibilizar las prestaciones y servicios de apoyo a als familias de acogimiento</w:t>
            </w:r>
          </w:p>
        </w:tc>
      </w:tr>
      <w:tr w:rsidR="005B5CE3">
        <w:tblPrEx>
          <w:tblCellMar>
            <w:top w:w="0" w:type="dxa"/>
            <w:bottom w:w="0" w:type="dxa"/>
          </w:tblCellMar>
        </w:tblPrEx>
        <w:trPr>
          <w:trHeight w:val="340"/>
        </w:trPr>
        <w:tc>
          <w:tcPr>
            <w:tcW w:w="450" w:type="dxa"/>
            <w:vMerge w:val="restart"/>
            <w:tcBorders>
              <w:left w:val="single" w:sz="4" w:space="0" w:color="000001"/>
              <w:bottom w:val="single" w:sz="4" w:space="0" w:color="000001"/>
            </w:tcBorders>
            <w:shd w:val="clear" w:color="auto" w:fill="9FC5E8"/>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PARTICIPACIÓN</w:t>
            </w:r>
          </w:p>
        </w:tc>
        <w:tc>
          <w:tcPr>
            <w:tcW w:w="1424" w:type="dxa"/>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left"/>
            </w:pPr>
            <w:r>
              <w:rPr>
                <w:rFonts w:ascii="Arial" w:eastAsia="Arial" w:hAnsi="Arial" w:cs="Arial"/>
                <w:b/>
                <w:sz w:val="20"/>
                <w:szCs w:val="20"/>
              </w:rPr>
              <w:t>Eje temático</w:t>
            </w:r>
          </w:p>
        </w:tc>
        <w:tc>
          <w:tcPr>
            <w:tcW w:w="5339" w:type="dxa"/>
            <w:gridSpan w:val="2"/>
            <w:tcBorders>
              <w:left w:val="single" w:sz="4" w:space="0" w:color="000001"/>
              <w:bottom w:val="single" w:sz="4" w:space="0" w:color="000001"/>
            </w:tcBorders>
            <w:shd w:val="clear" w:color="auto" w:fill="CCCCCC"/>
            <w:tcMar>
              <w:top w:w="0" w:type="dxa"/>
              <w:left w:w="108" w:type="dxa"/>
              <w:bottom w:w="0" w:type="dxa"/>
              <w:right w:w="108" w:type="dxa"/>
            </w:tcMar>
          </w:tcPr>
          <w:p w:rsidR="005B5CE3" w:rsidRDefault="00642485">
            <w:pPr>
              <w:pStyle w:val="Standard"/>
              <w:widowControl w:val="0"/>
              <w:spacing w:line="240" w:lineRule="auto"/>
              <w:jc w:val="center"/>
            </w:pPr>
            <w:r>
              <w:rPr>
                <w:rFonts w:ascii="Arial" w:eastAsia="Arial" w:hAnsi="Arial" w:cs="Arial"/>
                <w:b/>
                <w:sz w:val="20"/>
                <w:szCs w:val="20"/>
              </w:rPr>
              <w:t>Objetivos y acciones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9FC5E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Participación en plazas de deportes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left"/>
            </w:pPr>
            <w:r>
              <w:rPr>
                <w:rFonts w:ascii="Arial" w:eastAsia="Arial" w:hAnsi="Arial" w:cs="Arial"/>
                <w:sz w:val="20"/>
                <w:szCs w:val="20"/>
              </w:rPr>
              <w:t xml:space="preserve">Incentivar y promover la asistencia de los adolescentes a la red </w:t>
            </w:r>
            <w:r>
              <w:rPr>
                <w:rFonts w:ascii="Arial" w:eastAsia="Arial" w:hAnsi="Arial" w:cs="Arial"/>
                <w:sz w:val="20"/>
                <w:szCs w:val="20"/>
              </w:rPr>
              <w:t>de Plazas de deportes de todo el país se implementan “Jornadas disfrute adolescente” y actividades recreativas y campamentos.</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9FC5E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 xml:space="preserve">Participación de adolescentes en </w:t>
            </w:r>
            <w:r>
              <w:rPr>
                <w:rFonts w:ascii="Arial" w:eastAsia="Arial" w:hAnsi="Arial" w:cs="Arial"/>
                <w:sz w:val="20"/>
                <w:szCs w:val="20"/>
              </w:rPr>
              <w:lastRenderedPageBreak/>
              <w:t>diferentes espacios comunitarios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lastRenderedPageBreak/>
              <w:t>Promover la circulación de adolescentes por distintos espacios</w:t>
            </w:r>
            <w:r>
              <w:rPr>
                <w:rFonts w:ascii="Arial" w:eastAsia="Arial" w:hAnsi="Arial" w:cs="Arial"/>
                <w:sz w:val="20"/>
                <w:szCs w:val="20"/>
              </w:rPr>
              <w:t xml:space="preserve"> de la comunidad públicos y privados: culturales, recreativos, deportivos, educativos que aportan a la </w:t>
            </w:r>
            <w:r>
              <w:rPr>
                <w:rFonts w:ascii="Arial" w:eastAsia="Arial" w:hAnsi="Arial" w:cs="Arial"/>
                <w:sz w:val="20"/>
                <w:szCs w:val="20"/>
              </w:rPr>
              <w:lastRenderedPageBreak/>
              <w:t>formación y al desarrollo</w:t>
            </w:r>
          </w:p>
        </w:tc>
      </w:tr>
      <w:tr w:rsidR="005B5CE3">
        <w:tblPrEx>
          <w:tblCellMar>
            <w:top w:w="0" w:type="dxa"/>
            <w:bottom w:w="0" w:type="dxa"/>
          </w:tblCellMar>
        </w:tblPrEx>
        <w:trPr>
          <w:trHeight w:val="340"/>
        </w:trPr>
        <w:tc>
          <w:tcPr>
            <w:tcW w:w="450" w:type="dxa"/>
            <w:vMerge/>
            <w:tcBorders>
              <w:left w:val="single" w:sz="4" w:space="0" w:color="000001"/>
              <w:bottom w:val="single" w:sz="4" w:space="0" w:color="000001"/>
            </w:tcBorders>
            <w:shd w:val="clear" w:color="auto" w:fill="9FC5E8"/>
            <w:tcMar>
              <w:top w:w="0" w:type="dxa"/>
              <w:left w:w="108" w:type="dxa"/>
              <w:bottom w:w="0" w:type="dxa"/>
              <w:right w:w="108" w:type="dxa"/>
            </w:tcMar>
          </w:tcPr>
          <w:p w:rsidR="00000000" w:rsidRDefault="00642485">
            <w:pPr>
              <w:rPr>
                <w:color w:val="000000"/>
              </w:rPr>
            </w:pPr>
          </w:p>
        </w:tc>
        <w:tc>
          <w:tcPr>
            <w:tcW w:w="1424" w:type="dxa"/>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jc w:val="center"/>
            </w:pPr>
            <w:r>
              <w:rPr>
                <w:rFonts w:ascii="Arial" w:eastAsia="Arial" w:hAnsi="Arial" w:cs="Arial"/>
                <w:sz w:val="20"/>
                <w:szCs w:val="20"/>
              </w:rPr>
              <w:t>Promover prácticas ciudadanas basadas en la solidaridad y en la transmisión de conocimiento, experiencias de vida, habilidade</w:t>
            </w:r>
            <w:r>
              <w:rPr>
                <w:rFonts w:ascii="Arial" w:eastAsia="Arial" w:hAnsi="Arial" w:cs="Arial"/>
                <w:sz w:val="20"/>
                <w:szCs w:val="20"/>
              </w:rPr>
              <w:t>s, entre otros.</w:t>
            </w:r>
          </w:p>
        </w:tc>
        <w:tc>
          <w:tcPr>
            <w:tcW w:w="5339" w:type="dxa"/>
            <w:gridSpan w:val="2"/>
            <w:tcBorders>
              <w:left w:val="single" w:sz="4" w:space="0" w:color="000001"/>
              <w:bottom w:val="single" w:sz="4" w:space="0" w:color="000001"/>
            </w:tcBorders>
            <w:tcMar>
              <w:top w:w="0" w:type="dxa"/>
              <w:left w:w="108" w:type="dxa"/>
              <w:bottom w:w="0" w:type="dxa"/>
              <w:right w:w="108" w:type="dxa"/>
            </w:tcMar>
          </w:tcPr>
          <w:p w:rsidR="005B5CE3" w:rsidRDefault="00642485">
            <w:pPr>
              <w:pStyle w:val="Standard"/>
              <w:widowControl w:val="0"/>
              <w:spacing w:after="200" w:line="240" w:lineRule="auto"/>
            </w:pPr>
            <w:r>
              <w:rPr>
                <w:rFonts w:ascii="Arial" w:eastAsia="Arial" w:hAnsi="Arial" w:cs="Arial"/>
                <w:sz w:val="20"/>
                <w:szCs w:val="20"/>
              </w:rPr>
              <w:t>Implementar el Programa Nacional de Voluntariado y Prácticas Solidarias</w:t>
            </w:r>
          </w:p>
          <w:p w:rsidR="005B5CE3" w:rsidRDefault="005B5CE3">
            <w:pPr>
              <w:pStyle w:val="Standard"/>
              <w:widowControl w:val="0"/>
              <w:spacing w:line="240" w:lineRule="auto"/>
              <w:jc w:val="left"/>
            </w:pPr>
          </w:p>
        </w:tc>
      </w:tr>
    </w:tbl>
    <w:p w:rsidR="005B5CE3" w:rsidRDefault="005B5CE3">
      <w:pPr>
        <w:pStyle w:val="Standard"/>
        <w:widowControl w:val="0"/>
        <w:spacing w:line="240" w:lineRule="auto"/>
        <w:jc w:val="left"/>
      </w:pPr>
    </w:p>
    <w:p w:rsidR="005B5CE3" w:rsidRDefault="005B5CE3">
      <w:pPr>
        <w:pStyle w:val="Standard"/>
        <w:ind w:right="220"/>
      </w:pPr>
    </w:p>
    <w:p w:rsidR="005B5CE3" w:rsidRDefault="005B5CE3">
      <w:pPr>
        <w:pStyle w:val="Standard"/>
        <w:ind w:right="220"/>
      </w:pPr>
    </w:p>
    <w:p w:rsidR="005B5CE3" w:rsidRDefault="00642485">
      <w:pPr>
        <w:pStyle w:val="Standard"/>
        <w:spacing w:after="200"/>
      </w:pPr>
      <w:r>
        <w:rPr>
          <w:b/>
        </w:rPr>
        <w:t>6</w:t>
      </w:r>
      <w:r>
        <w:rPr>
          <w:b/>
        </w:rPr>
        <w:t xml:space="preserve">. Propuesta de monitoreo y seguimiento del plan </w:t>
      </w:r>
      <w:r>
        <w:rPr>
          <w:b/>
        </w:rPr>
        <w:t>(propuesta a discutir en comisión)</w:t>
      </w:r>
    </w:p>
    <w:p w:rsidR="005B5CE3" w:rsidRDefault="00642485">
      <w:pPr>
        <w:pStyle w:val="Standard"/>
        <w:spacing w:after="200"/>
      </w:pPr>
      <w:r>
        <w:t xml:space="preserve">El seguimiento y monitoreo de un Plan es una parte fundamental del mismo, ya </w:t>
      </w:r>
      <w:r>
        <w:t>que permite evaluar y garantizar el cumplimiento de los objetivos y metas planteados por cada organismo o institución. Es un mecanismo que permite constatar los avances y logros obtenidos, así como también las dificultades y obstáculos que se pueden ir pre</w:t>
      </w:r>
      <w:r>
        <w:t>sentando. Disponer de mecanismos de seguimiento y monitoreo establecidos y acordados interinstitucionalmente, brinda la posibilidad de observar la evolución de cada objetivo planteado y poder realizar acciones o ajustes cuando se detecten dificultades para</w:t>
      </w:r>
      <w:r>
        <w:t xml:space="preserve"> alcanzar el cumplimiento de los mismos.</w:t>
      </w:r>
    </w:p>
    <w:p w:rsidR="005B5CE3" w:rsidRDefault="00642485">
      <w:pPr>
        <w:pStyle w:val="Standard"/>
        <w:spacing w:after="200"/>
      </w:pPr>
      <w:r>
        <w:t>El Plan de Acción correspondiente al período 2010-2015 elaborado en el marco de la ENIA no contó con un seguimiento sistemático, a pesar de que se expresaba la necesidad de “afianzar mecanismos de rendición de cuent</w:t>
      </w:r>
      <w:r>
        <w:t>as y control social que otorguen transparencia a la gestión pública”</w:t>
      </w:r>
      <w:r>
        <w:rPr>
          <w:rStyle w:val="Refdenotaalpie"/>
        </w:rPr>
        <w:footnoteReference w:id="13"/>
      </w:r>
      <w:r>
        <w:t xml:space="preserve"> con el objetivo de instalar mecanismo</w:t>
      </w:r>
      <w:r>
        <w:t>s para monitorear los compromisos asumidos y la aplicación de los postulados planteados en el Código de la Niñez y la Adolescencia.</w:t>
      </w:r>
    </w:p>
    <w:p w:rsidR="005B5CE3" w:rsidRDefault="00642485">
      <w:pPr>
        <w:pStyle w:val="Standard"/>
        <w:spacing w:after="200"/>
      </w:pPr>
      <w:r>
        <w:t xml:space="preserve">Esta ausencia fue señalada por el Comité de los Derechos del Niño de Naciones Unidas en las recomendaciones que realizaron </w:t>
      </w:r>
      <w:r>
        <w:t>al Informe País en marzo del 2015 como la principal debilidad que tuvo el Plan de Acción del período pasado.</w:t>
      </w:r>
    </w:p>
    <w:p w:rsidR="005B5CE3" w:rsidRDefault="00642485">
      <w:pPr>
        <w:pStyle w:val="Standard"/>
        <w:spacing w:after="200"/>
      </w:pPr>
      <w:r>
        <w:lastRenderedPageBreak/>
        <w:t>En este sentido, resulta fundamental de cara a la elaboración de un segundo Plan de Acción 2015-2020 establecer los mecanismos de seguimiento y mon</w:t>
      </w:r>
      <w:r>
        <w:t>itoreo necesarios para dar cuenta de los avances obtenidos y poder realizar los ajustes que se consideren pertinentes para alcanzar las metas propuestas.</w:t>
      </w:r>
    </w:p>
    <w:p w:rsidR="005B5CE3" w:rsidRDefault="00642485">
      <w:pPr>
        <w:pStyle w:val="Standard"/>
        <w:spacing w:after="200"/>
      </w:pPr>
      <w:r>
        <w:t xml:space="preserve">Esto supone contar con una planificación estratégica en contraposición a la planificación normativa, </w:t>
      </w:r>
      <w:r>
        <w:t>en la cual no hay posibilidad de realizar modificaciones en el proceso de implementación de las acciones. En cambio, una planificación estratégica debe poder dar cuenta de los cambios que sean necesarios realizar adaptándose a la realidad institucional y s</w:t>
      </w:r>
      <w:r>
        <w:t>ocial.</w:t>
      </w:r>
    </w:p>
    <w:p w:rsidR="005B5CE3" w:rsidRDefault="00642485">
      <w:pPr>
        <w:pStyle w:val="Standard"/>
        <w:spacing w:after="200"/>
      </w:pPr>
      <w:r>
        <w:t>Los mecanismos de monitoreo buscan detectar de manera oportuna las deficiencias, obstáculos y necesidades con el objetivo de alcanzar los resultados esperados y lograr una gestión eficiente y eficaz del Plan. Supone realizar un seguimiento constante</w:t>
      </w:r>
      <w:r>
        <w:t xml:space="preserve"> durante el proceso de ejecución e implementación analizando la evolución de los indicadores y metas planteadas. Para lo cual resulta fundamental la recopilación de información pertinente, la elaboración de reportes que den cuenta del estado de situación d</w:t>
      </w:r>
      <w:r>
        <w:t>e manera sistemática, para orientar e informar a los responsables de la gestión.</w:t>
      </w:r>
    </w:p>
    <w:p w:rsidR="005B5CE3" w:rsidRDefault="00642485">
      <w:pPr>
        <w:pStyle w:val="Standard"/>
        <w:spacing w:after="200"/>
      </w:pPr>
      <w:r>
        <w:t>Contar con instancias de monitoreo específicas durante el proceso de implementación es de suma utilidad para indagar las condiciones que facilitan u obstaculizan el cumplimie</w:t>
      </w:r>
      <w:r>
        <w:t>nto de los objetivos, permite intervenir en forma oportuna en aquellas áreas que presentan mayor dificultad.</w:t>
      </w:r>
    </w:p>
    <w:p w:rsidR="005B5CE3" w:rsidRDefault="00642485">
      <w:pPr>
        <w:pStyle w:val="Standard"/>
        <w:spacing w:after="200"/>
      </w:pPr>
      <w:r>
        <w:t>Por lo tanto contar con una propuesta concreta de seguimiento y monitoreo del Plan es una herramienta para la gestión que supone el establecimiento</w:t>
      </w:r>
      <w:r>
        <w:t xml:space="preserve"> de una serie de procedimientos, mecanismos y etapas a través de los cuales se desarrollará esta tarea.</w:t>
      </w:r>
    </w:p>
    <w:p w:rsidR="005B5CE3" w:rsidRDefault="00642485">
      <w:pPr>
        <w:pStyle w:val="Standard"/>
        <w:spacing w:after="200"/>
      </w:pPr>
      <w:r>
        <w:t>Para ello se deberá conformar un equipo que esté a cargo del proceso de seguimiento y monitoreo del Plan, así como también implica la designación de ref</w:t>
      </w:r>
      <w:r>
        <w:t>erentes institucionales  encargados de reportar la información necesaria en tiempo y forma. Se deberá definir con cada referente institucional los tiempos y plazos en los que se considere conveniente realizar el reporte de los datos contemplando las difere</w:t>
      </w:r>
      <w:r>
        <w:t>ncias que pueden existir entre las distintas instituciones y las características del indicador a ser relevado.</w:t>
      </w:r>
    </w:p>
    <w:p w:rsidR="005B5CE3" w:rsidRDefault="00642485">
      <w:pPr>
        <w:pStyle w:val="Standard"/>
        <w:spacing w:after="200"/>
      </w:pPr>
      <w:r>
        <w:t xml:space="preserve">El equipo designado para el proceso de seguimiento y monitoreo será responsable de la elaboración de informes que servirán como insumos para la </w:t>
      </w:r>
      <w:r>
        <w:t xml:space="preserve">toma de decisiones de los </w:t>
      </w:r>
      <w:r>
        <w:lastRenderedPageBreak/>
        <w:t>actores involucrados, señalando los cambios o ajustes que se puedan realizar en los casos que sea necesario. Dichos informes deben servir de apoyo a la gestión, y  están dirigidos a la búsqueda de soluciones ante los problemas que</w:t>
      </w:r>
      <w:r>
        <w:t xml:space="preserve"> se pueden presentar durante la implementación del Plan. Por otra parte, contar con informes de seguimiento que den cuenta del proceso de ejecución aporta en la generación de conocimiento y aprendizajes de cara a futuras planificaciones.  </w:t>
      </w:r>
    </w:p>
    <w:p w:rsidR="005B5CE3" w:rsidRDefault="00642485">
      <w:pPr>
        <w:pStyle w:val="Standard"/>
        <w:spacing w:after="200"/>
      </w:pPr>
      <w:r>
        <w:t xml:space="preserve">Los informes de </w:t>
      </w:r>
      <w:r>
        <w:t xml:space="preserve">seguimiento y evaluación del Plan deberán ser presentados ante </w:t>
      </w:r>
      <w:r>
        <w:t xml:space="preserve">el Consejo Nacional de Políticas Sociales y ante </w:t>
      </w:r>
      <w:r>
        <w:t>el Consejo Nacional Consultivo Honorario de los Derecho del Niño y Adolescente con el objetivo de rendir cuenta ante dichos organismos sobre los</w:t>
      </w:r>
      <w:r>
        <w:t xml:space="preserve"> avances realizados en torno a las políticas dirigidas a la infancia y la adolescencia y el cumplimiento del Código de la Niñez y la Adolescencia.</w:t>
      </w:r>
    </w:p>
    <w:p w:rsidR="005B5CE3" w:rsidRDefault="00642485">
      <w:pPr>
        <w:pStyle w:val="Standard"/>
        <w:spacing w:after="200"/>
      </w:pPr>
      <w:r>
        <w:t>Por lo tanto el seguimiento y monitoreo propuesto para el Plan de PI, I y A deberá realizarse en dos niveles.</w:t>
      </w:r>
      <w:r>
        <w:t xml:space="preserve"> Uno, más general, que vele por el cumplimiento de la Convención, las recomendaciones del Comité de Naciones Unidas y el Código de la Niñez y la Adolescencia que dialoga entre los mandatos internacionales y nacionales. El otro nivel de seguimiento y monito</w:t>
      </w:r>
      <w:r>
        <w:t>reo refiere a la implementación de las políticas y acciones comprometidas a nivel nacional. Es responsabilidad de este nivel de seguimiento velar porque la agenda estratégica de PI, I y A incorpore temas novedosos, realice ajustes necesarios, identifique v</w:t>
      </w:r>
      <w:r>
        <w:t>acíos, con el objetivo marcar el rumbo de las políticas a futuro.</w:t>
      </w:r>
    </w:p>
    <w:p w:rsidR="005B5CE3" w:rsidRDefault="005B5CE3">
      <w:pPr>
        <w:pStyle w:val="Standard"/>
      </w:pPr>
    </w:p>
    <w:p w:rsidR="005B5CE3" w:rsidRDefault="005B5CE3">
      <w:pPr>
        <w:pStyle w:val="Standard"/>
        <w:pageBreakBefore/>
      </w:pPr>
    </w:p>
    <w:p w:rsidR="005B5CE3" w:rsidRDefault="005B5CE3">
      <w:pPr>
        <w:pStyle w:val="Standard"/>
      </w:pPr>
    </w:p>
    <w:p w:rsidR="005B5CE3" w:rsidRDefault="00642485">
      <w:pPr>
        <w:pStyle w:val="Standard"/>
        <w:spacing w:after="200"/>
      </w:pPr>
      <w:r>
        <w:rPr>
          <w:b/>
        </w:rPr>
        <w:t>7</w:t>
      </w:r>
      <w:r>
        <w:rPr>
          <w:b/>
        </w:rPr>
        <w:t>. Reflexiones y desafíos</w:t>
      </w:r>
    </w:p>
    <w:p w:rsidR="005B5CE3" w:rsidRDefault="00642485">
      <w:pPr>
        <w:pStyle w:val="Standard"/>
        <w:spacing w:after="200" w:line="240" w:lineRule="auto"/>
      </w:pPr>
      <w:r>
        <w:t>El Plan de Primera Infancia, Infancia y Adolescencia 2015 - 2020  se desarrolla en un contexto social, histórico e institucional, considerando los acumulados ex</w:t>
      </w:r>
      <w:r>
        <w:t>istentes en el campo de políticas sociales de la primera infancia, infancia y la adolescencia en nuestro país, y las necesidades y problemáticas de estos grupos poblacionales. Cabe entonces, explicitar los desafíos que a nuestro entender se desprenden de e</w:t>
      </w:r>
      <w:r>
        <w:t>ste proceso de elaboración.</w:t>
      </w:r>
    </w:p>
    <w:p w:rsidR="005B5CE3" w:rsidRDefault="00642485">
      <w:pPr>
        <w:pStyle w:val="Standard"/>
        <w:spacing w:after="200" w:line="240" w:lineRule="auto"/>
        <w:ind w:hanging="30"/>
      </w:pPr>
      <w:r>
        <w:rPr>
          <w:i/>
        </w:rPr>
        <w:t>Revisión y mejoramiento de las prácticas de intervención</w:t>
      </w:r>
    </w:p>
    <w:p w:rsidR="005B5CE3" w:rsidRDefault="00642485">
      <w:pPr>
        <w:pStyle w:val="Standard"/>
        <w:spacing w:after="200" w:line="240" w:lineRule="auto"/>
      </w:pPr>
      <w:r>
        <w:t>El aumento de la inversión social en los tres ciclos de vida, ha permitido en estos últimos años, acrecentar la cobertura de programas existentes, así como crear nuevos di</w:t>
      </w:r>
      <w:r>
        <w:t>spositivos de trabajo que atienden a nuevas necesidades y problemáticas sociales.</w:t>
      </w:r>
    </w:p>
    <w:p w:rsidR="005B5CE3" w:rsidRDefault="00642485">
      <w:pPr>
        <w:pStyle w:val="Standard"/>
        <w:spacing w:after="200" w:line="240" w:lineRule="auto"/>
      </w:pPr>
      <w:r>
        <w:t>Más allá de esto, es de considerar que si bien los aumentos de cobertura habilitan a la mejor accesibilidad de los niños, niñas y adolescentes a los servicios es necesario ta</w:t>
      </w:r>
      <w:r>
        <w:t xml:space="preserve">mbién atender a la calidad de las acciones que dentro de los mismos se desarrollan. Así, la revisión de los modelos de intervención, la actualización continua de los conocimientos de los equipos intervinientes, la generación de modelos de atención capaces </w:t>
      </w:r>
      <w:r>
        <w:t>de escuchar a los niños, niñas y adolescentes con que trabajan, tomando sus opiniones en cuenta para modificar las prácticas, y los sistemas de supervisión y monitoreo de las mismas, son un aspecto clave a ser profundizado. En esta línea, la experiencia ac</w:t>
      </w:r>
      <w:r>
        <w:t>umulada en este campo, indica que los mejores diseños de políticas y programas, fracasan si no cuentan con buenos modelos de intervención operativa, y equipos capacitados y comprometidos con los mismos.</w:t>
      </w:r>
    </w:p>
    <w:p w:rsidR="005B5CE3" w:rsidRDefault="00642485">
      <w:pPr>
        <w:pStyle w:val="Standard"/>
        <w:spacing w:after="200" w:line="240" w:lineRule="auto"/>
      </w:pPr>
      <w:r>
        <w:rPr>
          <w:i/>
        </w:rPr>
        <w:t>Acceso a atención en salud mental</w:t>
      </w:r>
    </w:p>
    <w:p w:rsidR="005B5CE3" w:rsidRDefault="00642485">
      <w:pPr>
        <w:pStyle w:val="Standard"/>
        <w:spacing w:after="200" w:line="240" w:lineRule="auto"/>
      </w:pPr>
      <w:r>
        <w:t xml:space="preserve">Nuestro país se </w:t>
      </w:r>
      <w:r>
        <w:t>encuentra discutiendo un cambio normativo en lo que refiere a atención en salud mental que habilite a procesar un cambio de paradigma en cuanto a las formas de entender y atender los problemas en esta área. Aún así, y mientras ello se procesa, cabe profund</w:t>
      </w:r>
      <w:r>
        <w:t>izar el conocimiento acerca de la accesibilidad a los servicios de atención por parte de los niños, niñas y adolescentes, y sus  características, especialmente cuando los mismos implican situaciones que requieren internación y atención farmacológica sosten</w:t>
      </w:r>
      <w:r>
        <w:t>ida.</w:t>
      </w:r>
    </w:p>
    <w:p w:rsidR="005B5CE3" w:rsidRDefault="00642485">
      <w:pPr>
        <w:pStyle w:val="Standard"/>
        <w:spacing w:after="200" w:line="240" w:lineRule="auto"/>
      </w:pPr>
      <w:r>
        <w:rPr>
          <w:i/>
        </w:rPr>
        <w:t>Fortalecer la capacidad de protección y cuidado del mundo adulto en relación a la primera infancia, infancia y adolescencia</w:t>
      </w:r>
    </w:p>
    <w:p w:rsidR="005B5CE3" w:rsidRDefault="00642485">
      <w:pPr>
        <w:pStyle w:val="Standard"/>
        <w:spacing w:after="200" w:line="240" w:lineRule="auto"/>
      </w:pPr>
      <w:r>
        <w:t>El análisis de las necesidades de bienestar y protección de los niños, niñas y adolescentes en nuestras sociedades, y su satisf</w:t>
      </w:r>
      <w:r>
        <w:t xml:space="preserve">acción se produce en diversos ámbitos, familiares, comunitarios e institucionales. En todos ellos, los adultos interaccionamos cotidianamente </w:t>
      </w:r>
      <w:r>
        <w:lastRenderedPageBreak/>
        <w:t>con las nuevas generaciones realizando acciones de cuidado sustantivas para la vida como lo es la alimentación, el</w:t>
      </w:r>
      <w:r>
        <w:t xml:space="preserve"> hogar, la atención a la salud, entre otros.</w:t>
      </w:r>
    </w:p>
    <w:p w:rsidR="005B5CE3" w:rsidRDefault="00642485">
      <w:pPr>
        <w:pStyle w:val="Standard"/>
        <w:spacing w:after="200" w:line="240" w:lineRule="auto"/>
      </w:pPr>
      <w:r>
        <w:t xml:space="preserve">En estos diferentes ámbitos se transmiten contenidos culturales,  formas de relacionamiento y manejo de la afectividad, que hablan de nuestras sociedades, y del lugar que para nosotros tienen los niños, niñas y </w:t>
      </w:r>
      <w:r>
        <w:t>adolescentes.</w:t>
      </w:r>
    </w:p>
    <w:p w:rsidR="005B5CE3" w:rsidRDefault="00642485">
      <w:pPr>
        <w:pStyle w:val="Standard"/>
        <w:spacing w:after="200" w:line="240" w:lineRule="auto"/>
      </w:pPr>
      <w:r>
        <w:t>En este marco, un desafío importante, consiste en el fortalecimiento de las funciones parentales y de relacionamiento adulto- niño en diversos ámbitos, acompañando,  orientando y generando espacios conjuntos de revisión y modificación de aqu</w:t>
      </w:r>
      <w:r>
        <w:t>ellas prácticas cotidianas que comprometen el desarrollo pleno de los niños, niñas y adolescentes.</w:t>
      </w:r>
    </w:p>
    <w:p w:rsidR="005B5CE3" w:rsidRDefault="00642485">
      <w:pPr>
        <w:pStyle w:val="Standard"/>
        <w:spacing w:after="200" w:line="240" w:lineRule="auto"/>
      </w:pPr>
      <w:r>
        <w:t>En esta línea, se habrá de atender especialmente a la reformulación del marco normativo y/o institucional relativo a los niños que se hallan privados de cui</w:t>
      </w:r>
      <w:r>
        <w:t>dados parentales, o que pertenecen a núcleos familiares donde sus adultos de referencia se hallan privados de libertad.</w:t>
      </w:r>
    </w:p>
    <w:p w:rsidR="005B5CE3" w:rsidRDefault="00642485">
      <w:pPr>
        <w:pStyle w:val="Standard"/>
        <w:spacing w:after="200" w:line="240" w:lineRule="auto"/>
      </w:pPr>
      <w:r>
        <w:t>Por otra parte, si bien nuestra sociedad ha avanzado notoriamente en cuanto a desnaturalizar las prácticas de malos tratos físicos o psi</w:t>
      </w:r>
      <w:r>
        <w:t>cológicos hacia los niños, niñas y adolescentes, queda camino por recorrer en cuanto a la modificación de estas formas de relacionamiento, así como a la generación de respuestas rápidas que permitan reparar el daño cuando éste se ha producido.</w:t>
      </w:r>
    </w:p>
    <w:p w:rsidR="005B5CE3" w:rsidRDefault="00642485">
      <w:pPr>
        <w:pStyle w:val="Standard"/>
      </w:pPr>
      <w:r>
        <w:rPr>
          <w:i/>
        </w:rPr>
        <w:t>Rol de la C</w:t>
      </w:r>
      <w:r>
        <w:rPr>
          <w:i/>
        </w:rPr>
        <w:t>omisión de Primera Infancia, Infancia y Adolescencia del CNPS</w:t>
      </w:r>
    </w:p>
    <w:p w:rsidR="005B5CE3" w:rsidRDefault="005B5CE3">
      <w:pPr>
        <w:pStyle w:val="Standard"/>
      </w:pPr>
    </w:p>
    <w:p w:rsidR="005B5CE3" w:rsidRDefault="00642485">
      <w:pPr>
        <w:pStyle w:val="Standard"/>
        <w:spacing w:after="200" w:line="240" w:lineRule="auto"/>
      </w:pPr>
      <w:r>
        <w:rPr>
          <w:shd w:val="clear" w:color="auto" w:fill="FFFFFF"/>
        </w:rPr>
        <w:t>La Comisión, en tanto ámbito interinstitucional para la articulación de las políticas de primera infancia, infancia y adolescencia, se constituye como un espacio que fortalece el acumulado naci</w:t>
      </w:r>
      <w:r>
        <w:rPr>
          <w:shd w:val="clear" w:color="auto" w:fill="FFFFFF"/>
        </w:rPr>
        <w:t>onal en lo que refiere a políticas sociales dirigidas a estas poblaciones. El desafío es avanzar en el fortalecimiento del sistema de protección integral pensado para todos y todas, que incorpore las políticas sociales dirigidas a la especial vulnerabilida</w:t>
      </w:r>
      <w:r>
        <w:rPr>
          <w:shd w:val="clear" w:color="auto" w:fill="FFFFFF"/>
        </w:rPr>
        <w:t>d, a la vez que incluya políticas sociales de corte universal.</w:t>
      </w:r>
    </w:p>
    <w:p w:rsidR="005B5CE3" w:rsidRDefault="00642485">
      <w:pPr>
        <w:pStyle w:val="Standard"/>
        <w:spacing w:after="200"/>
      </w:pPr>
      <w:r>
        <w:t>El principal</w:t>
      </w:r>
      <w:r>
        <w:t xml:space="preserve"> desafío </w:t>
      </w:r>
      <w:r>
        <w:t>para el fortalecimiento del</w:t>
      </w:r>
      <w:r>
        <w:t xml:space="preserve"> sistema es </w:t>
      </w:r>
      <w:r>
        <w:t xml:space="preserve">mejorar los niveles de </w:t>
      </w:r>
      <w:r>
        <w:t xml:space="preserve"> articulación entre las sectoriales con foco en el sujeto más allá del entramado institucional. Esto supone colocar al sujeto como eje central que tensiona la sectorialidad exigiendo el diálogo y la articulación.</w:t>
      </w:r>
      <w:r>
        <w:t xml:space="preserve"> </w:t>
      </w:r>
      <w:r>
        <w:t xml:space="preserve">Superar </w:t>
      </w:r>
      <w:r>
        <w:t xml:space="preserve">la fragmentación interinstitucional para alcanzar las coordinaciones y articulaciones necesarias para </w:t>
      </w:r>
      <w:r>
        <w:t>fortalecer el</w:t>
      </w:r>
      <w:r>
        <w:t xml:space="preserve"> sistema de protección integral supone correrse de la mirada sectorial en pos de una indispensable articulación de las mismas para la resoluc</w:t>
      </w:r>
      <w:r>
        <w:t>ión de problemas que son multicausales.</w:t>
      </w:r>
    </w:p>
    <w:p w:rsidR="005B5CE3" w:rsidRDefault="00642485">
      <w:pPr>
        <w:pStyle w:val="Standard"/>
        <w:spacing w:after="200"/>
      </w:pPr>
      <w:r>
        <w:lastRenderedPageBreak/>
        <w:t>Un sistema de protección integral para la Primera Infancia, Infancia y Adolescencia debe tener como objetivo primordial trascender lo coyuntural y generar consensos de mediano y largo plazo. Para avanzar hacia este s</w:t>
      </w:r>
      <w:r>
        <w:t>istema en primer lugar es necesario conocer la institucionalidad actual, para poder identificar los posibles ajustes o innovaciones a realizar.</w:t>
      </w:r>
      <w:r>
        <w:t xml:space="preserve"> </w:t>
      </w:r>
      <w:r>
        <w:t>Por lo cual se hace necesario formular una agenda país en relación a la Primera Infancia, Infancia y Adolescenci</w:t>
      </w:r>
      <w:r>
        <w:t>a en clave diagnóstica, propositiva y prospectiva.  Esto supone establecer consensos políticos que le den sustentabilidad a los acuerdos establecidos a nivel técnico. Por otra parte implica un proceso de debate nacional y colectivo con sustento político, i</w:t>
      </w:r>
      <w:r>
        <w:t>nstitucional y técnico que le brinde visibilidad y le otorgue respaldo a nivel social. Para ello, debe contar con una metodología y  mecanismos de participación que sean amplios y plurales de manera de legitimar el proceso de construcción del sistema.</w:t>
      </w:r>
    </w:p>
    <w:p w:rsidR="005B5CE3" w:rsidRDefault="00642485">
      <w:pPr>
        <w:pStyle w:val="Standard"/>
        <w:spacing w:after="200"/>
      </w:pPr>
      <w:r>
        <w:t>En e</w:t>
      </w:r>
      <w:r>
        <w:t>ste sentido, es fundamental que el Estado a través de los principales agentes públicos responsables de las políticas de infancia y adolescencia se embarquen en la búsqueda de acuerdos básicos en torno al bienestar social.</w:t>
      </w:r>
      <w:r>
        <w:t xml:space="preserve"> </w:t>
      </w:r>
      <w:r>
        <w:t>Esto no implica unanimidad, sino q</w:t>
      </w:r>
      <w:r>
        <w:t>ue supone establecer acuerdos macro y de largo plazo que establezcan mecanismos de cooperación entre actores políticos y sociales.</w:t>
      </w:r>
    </w:p>
    <w:p w:rsidR="005B5CE3" w:rsidRDefault="00642485">
      <w:pPr>
        <w:pStyle w:val="Standard"/>
        <w:spacing w:after="200"/>
      </w:pPr>
      <w:r>
        <w:t>Los contenidos planteados y acordados en el marco de un sistema de protección deben ser una hoja de ruta para la acción de la</w:t>
      </w:r>
      <w:r>
        <w:t>s instituciones.  Debe contar con un espacio político institucional que garantice la articulación y enmarque las prioridades.</w:t>
      </w:r>
    </w:p>
    <w:p w:rsidR="005B5CE3" w:rsidRDefault="00642485">
      <w:pPr>
        <w:pStyle w:val="Standard"/>
        <w:spacing w:after="200" w:line="240" w:lineRule="auto"/>
      </w:pPr>
      <w:r>
        <w:rPr>
          <w:i/>
        </w:rPr>
        <w:t>Revitalización de la importancia de estos ciclos de vida en la agenda política y social del país</w:t>
      </w:r>
    </w:p>
    <w:p w:rsidR="005B5CE3" w:rsidRDefault="00642485">
      <w:pPr>
        <w:pStyle w:val="Standard"/>
        <w:spacing w:after="200" w:line="240" w:lineRule="auto"/>
      </w:pPr>
      <w:r>
        <w:t>Un último aspecto identificado co</w:t>
      </w:r>
      <w:r>
        <w:t>nsiste en la necesidad de fortalecer el espacio que las cuestiones relacionadas con la primera infancia, infancia y adolescencia ocupan en las agendas de debate político y social contemporáneas. Si bien hemos avanzado en los últimos años en el marco de las</w:t>
      </w:r>
      <w:r>
        <w:t xml:space="preserve"> diversas reformas llevadas adelante y el diseño de políticas y programas dirigidos específicamente a estos ciclos de vida, aún persisten importantes brechas que afectan especialmente a niños, niñas y adolescentes.  Como ya se ha mencionado, el ritmo del d</w:t>
      </w:r>
      <w:r>
        <w:t>escenso de la pobreza ha sido menor en estos ciclos de vida; las pautas de crianza, las políticas de seguridad alimentaria, el desarrollo infantil y la educación exhiben espacio para mejoras; la violencia hacia niños, niñas y adolescentes demanda respuesta</w:t>
      </w:r>
      <w:r>
        <w:t>s inmediatas; y los usos de los espacios públicos deben potenciarse como garantía del ejercicio del derecho a la ciudad. Dar respuesta a estos desafíos exige, por lo tanto, sostener los esfuerzos de inversión, y además dedicar energías intelectuales y comu</w:t>
      </w:r>
      <w:r>
        <w:t>nicacionales de cara a mantener a estos temas como prioridades de las políticas públicas del país.</w:t>
      </w:r>
    </w:p>
    <w:p w:rsidR="005B5CE3" w:rsidRDefault="005B5CE3">
      <w:pPr>
        <w:pStyle w:val="Standard"/>
        <w:spacing w:after="200" w:line="240" w:lineRule="auto"/>
      </w:pPr>
    </w:p>
    <w:p w:rsidR="005B5CE3" w:rsidRDefault="005B5CE3">
      <w:pPr>
        <w:pStyle w:val="Standard"/>
        <w:spacing w:after="200"/>
      </w:pPr>
    </w:p>
    <w:p w:rsidR="005B5CE3" w:rsidRDefault="005B5CE3">
      <w:pPr>
        <w:pStyle w:val="Standard"/>
        <w:spacing w:after="200"/>
      </w:pPr>
    </w:p>
    <w:p w:rsidR="005B5CE3" w:rsidRDefault="005B5CE3">
      <w:pPr>
        <w:pStyle w:val="Standard"/>
        <w:spacing w:after="200"/>
      </w:pPr>
    </w:p>
    <w:p w:rsidR="005B5CE3" w:rsidRDefault="005B5CE3">
      <w:pPr>
        <w:pStyle w:val="Standard"/>
        <w:spacing w:after="200"/>
      </w:pPr>
    </w:p>
    <w:p w:rsidR="005B5CE3" w:rsidRDefault="005B5CE3">
      <w:pPr>
        <w:pStyle w:val="Standard"/>
        <w:spacing w:after="200"/>
      </w:pPr>
    </w:p>
    <w:p w:rsidR="005B5CE3" w:rsidRDefault="005B5CE3">
      <w:pPr>
        <w:pStyle w:val="Standard"/>
        <w:spacing w:after="200"/>
      </w:pPr>
    </w:p>
    <w:p w:rsidR="005B5CE3" w:rsidRDefault="005B5CE3">
      <w:pPr>
        <w:pStyle w:val="Standard"/>
        <w:spacing w:after="200"/>
      </w:pPr>
    </w:p>
    <w:p w:rsidR="005B5CE3" w:rsidRDefault="005B5CE3">
      <w:pPr>
        <w:pStyle w:val="Standard"/>
        <w:spacing w:after="200"/>
      </w:pPr>
    </w:p>
    <w:p w:rsidR="005B5CE3" w:rsidRDefault="00642485">
      <w:pPr>
        <w:pStyle w:val="Standard"/>
        <w:spacing w:after="200"/>
      </w:pPr>
      <w:r>
        <w:rPr>
          <w:b/>
        </w:rPr>
        <w:t>8. Bibliografía</w:t>
      </w:r>
    </w:p>
    <w:p w:rsidR="005B5CE3" w:rsidRDefault="00642485">
      <w:pPr>
        <w:pStyle w:val="Standard"/>
        <w:spacing w:after="200"/>
      </w:pPr>
      <w:r>
        <w:rPr>
          <w:b/>
        </w:rPr>
        <w:t xml:space="preserve">Administración Nacional de Educación Pública (2015) </w:t>
      </w:r>
      <w:r>
        <w:rPr>
          <w:i/>
        </w:rPr>
        <w:t xml:space="preserve">Proyecto de presupuesto. </w:t>
      </w:r>
      <w:r>
        <w:t xml:space="preserve">Período 2015-2019. Tomo I Exposición de motivos.  </w:t>
      </w:r>
    </w:p>
    <w:p w:rsidR="005B5CE3" w:rsidRDefault="00642485">
      <w:pPr>
        <w:pStyle w:val="Standard"/>
        <w:spacing w:after="200"/>
      </w:pPr>
      <w:r>
        <w:rPr>
          <w:b/>
        </w:rPr>
        <w:t>Arie</w:t>
      </w:r>
      <w:r>
        <w:rPr>
          <w:b/>
        </w:rPr>
        <w:t>s, Philippe (1987)</w:t>
      </w:r>
      <w:r>
        <w:rPr>
          <w:i/>
        </w:rPr>
        <w:t xml:space="preserve"> El niño y la vida familiar en el Antiguo Régimen</w:t>
      </w:r>
      <w:r>
        <w:t>. Madrid. Taurus.</w:t>
      </w:r>
    </w:p>
    <w:p w:rsidR="005B5CE3" w:rsidRDefault="00642485">
      <w:pPr>
        <w:pStyle w:val="Standard"/>
        <w:spacing w:after="200"/>
      </w:pPr>
      <w:r>
        <w:rPr>
          <w:b/>
        </w:rPr>
        <w:t>Carli, Sandra (compiladora) (1999)</w:t>
      </w:r>
      <w:r>
        <w:t xml:space="preserve"> </w:t>
      </w:r>
      <w:r>
        <w:rPr>
          <w:i/>
        </w:rPr>
        <w:t xml:space="preserve">De la familia a la escuela. Infancia, socialización y subjetividad. </w:t>
      </w:r>
      <w:r>
        <w:t>Buenos Aires. Santillana.</w:t>
      </w:r>
    </w:p>
    <w:p w:rsidR="005B5CE3" w:rsidRDefault="00642485">
      <w:pPr>
        <w:pStyle w:val="Standard"/>
        <w:spacing w:after="200"/>
      </w:pPr>
      <w:r>
        <w:rPr>
          <w:b/>
        </w:rPr>
        <w:t xml:space="preserve">Cecchini, Simone; Filgueira, Fernando; Martínez, Rodrigo y Rossel, Cecilia (2015) </w:t>
      </w:r>
      <w:r>
        <w:rPr>
          <w:i/>
        </w:rPr>
        <w:t>Instrumentos de protección social. Caminos latinoamericanos hacia la universali</w:t>
      </w:r>
      <w:r>
        <w:rPr>
          <w:i/>
        </w:rPr>
        <w:t xml:space="preserve">zación. </w:t>
      </w:r>
      <w:r>
        <w:t>CEPAL. Santiago de Chile.</w:t>
      </w:r>
    </w:p>
    <w:p w:rsidR="005B5CE3" w:rsidRDefault="00642485">
      <w:pPr>
        <w:pStyle w:val="Standard"/>
        <w:spacing w:after="200"/>
      </w:pPr>
      <w:r>
        <w:rPr>
          <w:b/>
        </w:rPr>
        <w:t>Civarolo, María Mercedes y María Angélica Fuentes (2013)</w:t>
      </w:r>
      <w:r>
        <w:t xml:space="preserve"> </w:t>
      </w:r>
      <w:r>
        <w:rPr>
          <w:i/>
        </w:rPr>
        <w:t>“Miradas de educadores y padres sobre la infancia actual”</w:t>
      </w:r>
      <w:r>
        <w:t xml:space="preserve">. </w:t>
      </w:r>
      <w:r>
        <w:rPr>
          <w:i/>
        </w:rPr>
        <w:t>Revista Latinoamericana de Educación Infantil</w:t>
      </w:r>
      <w:r>
        <w:t xml:space="preserve"> Vol° 2 (3), pp. 145-160.</w:t>
      </w:r>
    </w:p>
    <w:p w:rsidR="005B5CE3" w:rsidRDefault="00642485">
      <w:pPr>
        <w:pStyle w:val="Standard"/>
        <w:spacing w:after="200"/>
      </w:pPr>
      <w:r>
        <w:rPr>
          <w:b/>
        </w:rPr>
        <w:t>Colacce, Maira y Tenenbaum, Victo</w:t>
      </w:r>
      <w:r>
        <w:rPr>
          <w:b/>
        </w:rPr>
        <w:t>ria</w:t>
      </w:r>
      <w:r>
        <w:t xml:space="preserve"> (2016) </w:t>
      </w:r>
      <w:r>
        <w:rPr>
          <w:i/>
        </w:rPr>
        <w:t xml:space="preserve">Pobreza y privaciones Múltiples en la Infancia en Uruguay. </w:t>
      </w:r>
      <w:r>
        <w:t>CEPAL, UNICEF.</w:t>
      </w:r>
    </w:p>
    <w:p w:rsidR="005B5CE3" w:rsidRDefault="00642485">
      <w:pPr>
        <w:pStyle w:val="Standard"/>
        <w:spacing w:after="200"/>
      </w:pPr>
      <w:r>
        <w:rPr>
          <w:b/>
        </w:rPr>
        <w:t xml:space="preserve">Comité de Coordinación Estratégica (2009) </w:t>
      </w:r>
      <w:r>
        <w:rPr>
          <w:i/>
        </w:rPr>
        <w:t xml:space="preserve">Estrategia Nacional de Infancia y Adolescencia 2010-2030. Plan de Acción 2010-2015. </w:t>
      </w:r>
      <w:r>
        <w:t>Montevideo.</w:t>
      </w:r>
    </w:p>
    <w:p w:rsidR="005B5CE3" w:rsidRDefault="00642485">
      <w:pPr>
        <w:pStyle w:val="Standard"/>
        <w:spacing w:after="200"/>
      </w:pPr>
      <w:r>
        <w:rPr>
          <w:b/>
        </w:rPr>
        <w:lastRenderedPageBreak/>
        <w:t xml:space="preserve">Comité de los Derechos del Niño </w:t>
      </w:r>
      <w:r>
        <w:rPr>
          <w:b/>
        </w:rPr>
        <w:t xml:space="preserve">de Naciones Unidas (2015) </w:t>
      </w:r>
      <w:r>
        <w:rPr>
          <w:i/>
        </w:rPr>
        <w:t>Observaciones finales sobre los informes periódicos tercero a quinto combinados del Uruguay.</w:t>
      </w:r>
    </w:p>
    <w:p w:rsidR="005B5CE3" w:rsidRDefault="00642485">
      <w:pPr>
        <w:pStyle w:val="Standard"/>
        <w:spacing w:after="200" w:line="240" w:lineRule="auto"/>
      </w:pPr>
      <w:r>
        <w:rPr>
          <w:b/>
        </w:rPr>
        <w:t xml:space="preserve">CONAPEES (2015) </w:t>
      </w:r>
      <w:r>
        <w:t xml:space="preserve">100 Acciones Acordadas para la Erradicación de la Explotación Sexual Comercial de Niñas, Niños y Adolescentes en Uruguay </w:t>
      </w:r>
      <w:r>
        <w:t>(2015-2020).</w:t>
      </w:r>
    </w:p>
    <w:p w:rsidR="005B5CE3" w:rsidRDefault="00642485">
      <w:pPr>
        <w:pStyle w:val="Standard"/>
        <w:spacing w:after="200"/>
      </w:pPr>
      <w:r>
        <w:rPr>
          <w:b/>
        </w:rPr>
        <w:t xml:space="preserve">Consejo Nacional de Políticas Sociales (2014) </w:t>
      </w:r>
      <w:r>
        <w:rPr>
          <w:i/>
        </w:rPr>
        <w:t>Informe de avance del Plan de Acción de la ENIA.</w:t>
      </w:r>
    </w:p>
    <w:p w:rsidR="005B5CE3" w:rsidRDefault="00642485">
      <w:pPr>
        <w:pStyle w:val="Standard"/>
        <w:spacing w:after="200"/>
      </w:pPr>
      <w:r>
        <w:rPr>
          <w:b/>
        </w:rPr>
        <w:t>Convención sobre los Derechos del Niño (1989)</w:t>
      </w:r>
      <w:r>
        <w:t xml:space="preserve"> Adoptada por la Asamblea General de las Naciones Unidas el 20 de diciembre de 1989.</w:t>
      </w:r>
    </w:p>
    <w:p w:rsidR="005B5CE3" w:rsidRDefault="00642485">
      <w:pPr>
        <w:pStyle w:val="Standard"/>
        <w:spacing w:after="200"/>
      </w:pPr>
      <w:r>
        <w:rPr>
          <w:b/>
        </w:rPr>
        <w:t>Convenio ICP-UCC (</w:t>
      </w:r>
      <w:r>
        <w:rPr>
          <w:b/>
        </w:rPr>
        <w:t>2014)</w:t>
      </w:r>
      <w:r>
        <w:t xml:space="preserve"> </w:t>
      </w:r>
      <w:r>
        <w:rPr>
          <w:i/>
        </w:rPr>
        <w:t>El vínculo entre oferta pública social en primera infancia, su marco normativo y las entidades reguladoras</w:t>
      </w:r>
      <w:r>
        <w:t>. Montevideo.</w:t>
      </w:r>
    </w:p>
    <w:p w:rsidR="005B5CE3" w:rsidRDefault="00642485">
      <w:pPr>
        <w:pStyle w:val="Standard"/>
        <w:spacing w:after="200"/>
      </w:pPr>
      <w:r>
        <w:rPr>
          <w:b/>
        </w:rPr>
        <w:t xml:space="preserve">De  Martino  (2010) </w:t>
      </w:r>
      <w:r>
        <w:rPr>
          <w:i/>
        </w:rPr>
        <w:t xml:space="preserve">Ocho  notas  críticas  sobre  políticas  de  protección  a  niños  y adolescentes en América Latina. </w:t>
      </w:r>
      <w:r>
        <w:t xml:space="preserve">Revista </w:t>
      </w:r>
      <w:r>
        <w:t>CUHSO, Vol. 20, N° 2. Universidad Católica de Temuco, Chile. DOI: 10.7770/CUHSO-V20N1-ART319</w:t>
      </w:r>
    </w:p>
    <w:p w:rsidR="005B5CE3" w:rsidRDefault="00642485">
      <w:pPr>
        <w:pStyle w:val="Standard"/>
        <w:spacing w:after="200"/>
      </w:pPr>
      <w:r>
        <w:rPr>
          <w:b/>
        </w:rPr>
        <w:t>Diker, Gabriela (2008)</w:t>
      </w:r>
      <w:r>
        <w:t xml:space="preserve"> </w:t>
      </w:r>
      <w:r>
        <w:rPr>
          <w:i/>
        </w:rPr>
        <w:t>¿Qué hay de nuevo en las nuevas infancias?.</w:t>
      </w:r>
      <w:r>
        <w:t xml:space="preserve"> Universidad Nacional General Sarmiento, Buenos Aires.</w:t>
      </w:r>
    </w:p>
    <w:p w:rsidR="005B5CE3" w:rsidRDefault="00642485">
      <w:pPr>
        <w:pStyle w:val="Standard"/>
        <w:spacing w:after="200"/>
      </w:pPr>
      <w:r>
        <w:rPr>
          <w:b/>
        </w:rPr>
        <w:t>Dirección Nacional de Evaluación y Monitor</w:t>
      </w:r>
      <w:r>
        <w:rPr>
          <w:b/>
        </w:rPr>
        <w:t>eo del MIDES (2015)</w:t>
      </w:r>
      <w:r>
        <w:t xml:space="preserve"> </w:t>
      </w:r>
      <w:r>
        <w:rPr>
          <w:i/>
        </w:rPr>
        <w:t xml:space="preserve">Monitoreo de la Situación de la Infancia en Uruguay. </w:t>
      </w:r>
      <w:r>
        <w:t>MIDES.</w:t>
      </w:r>
    </w:p>
    <w:p w:rsidR="005B5CE3" w:rsidRDefault="00642485">
      <w:pPr>
        <w:pStyle w:val="Standard"/>
        <w:spacing w:after="200"/>
      </w:pPr>
      <w:r>
        <w:rPr>
          <w:b/>
        </w:rPr>
        <w:t xml:space="preserve">Gabinete Social. Consejo Nacional de Políticas Sociales (2008) </w:t>
      </w:r>
      <w:r>
        <w:rPr>
          <w:i/>
        </w:rPr>
        <w:t>Estrategia Nacional de Infancia y Adolescencia 2010-2030.</w:t>
      </w:r>
      <w:r>
        <w:rPr>
          <w:b/>
        </w:rPr>
        <w:t xml:space="preserve"> </w:t>
      </w:r>
      <w:r>
        <w:rPr>
          <w:i/>
        </w:rPr>
        <w:t xml:space="preserve">Bases para su implementación. </w:t>
      </w:r>
      <w:r>
        <w:t>Montevideo.</w:t>
      </w:r>
    </w:p>
    <w:p w:rsidR="005B5CE3" w:rsidRDefault="00642485">
      <w:pPr>
        <w:pStyle w:val="Standard"/>
        <w:spacing w:after="200"/>
      </w:pPr>
      <w:r>
        <w:rPr>
          <w:b/>
        </w:rPr>
        <w:t>Giacometti, C</w:t>
      </w:r>
      <w:r>
        <w:rPr>
          <w:b/>
        </w:rPr>
        <w:t>. y Pautassi, L. (2014)</w:t>
      </w:r>
      <w:r>
        <w:t xml:space="preserve"> </w:t>
      </w:r>
      <w:r>
        <w:rPr>
          <w:i/>
        </w:rPr>
        <w:t>Infancia y (des)protección social. Un análisis comparado en cinco países latinoamericanos.</w:t>
      </w:r>
      <w:r>
        <w:t xml:space="preserve"> CEPAL, UNICEF.</w:t>
      </w:r>
      <w:r>
        <w:br/>
      </w:r>
    </w:p>
    <w:p w:rsidR="005B5CE3" w:rsidRDefault="00642485">
      <w:pPr>
        <w:pStyle w:val="Standard"/>
        <w:spacing w:after="200"/>
      </w:pPr>
      <w:r>
        <w:rPr>
          <w:b/>
        </w:rPr>
        <w:t>Grupo Interinstitucional De primera y para siempre (2015)</w:t>
      </w:r>
      <w:r>
        <w:t xml:space="preserve"> </w:t>
      </w:r>
      <w:r>
        <w:rPr>
          <w:i/>
        </w:rPr>
        <w:t>Primera Infancia en Uruguay</w:t>
      </w:r>
      <w:r>
        <w:t xml:space="preserve">. Documento elaborado para el seminario </w:t>
      </w:r>
      <w:r>
        <w:t>“De Primera y Para Siempre”. UCC-MIDES, MSP, MEC, SNIC, INAU, Montevideo.</w:t>
      </w:r>
    </w:p>
    <w:p w:rsidR="005B5CE3" w:rsidRDefault="00642485">
      <w:pPr>
        <w:pStyle w:val="Standard"/>
      </w:pPr>
      <w:r>
        <w:rPr>
          <w:b/>
        </w:rPr>
        <w:t xml:space="preserve">Infamilia (2008) </w:t>
      </w:r>
      <w:r>
        <w:rPr>
          <w:i/>
        </w:rPr>
        <w:t>Modelo de gestión territorial de políticas de infancia y adolescencia. Hacia la construcción de redes locales de protección social.</w:t>
      </w:r>
      <w:r>
        <w:t xml:space="preserve"> MIDES.</w:t>
      </w:r>
    </w:p>
    <w:p w:rsidR="005B5CE3" w:rsidRDefault="005B5CE3">
      <w:pPr>
        <w:pStyle w:val="Standard"/>
      </w:pPr>
    </w:p>
    <w:p w:rsidR="005B5CE3" w:rsidRDefault="00642485">
      <w:pPr>
        <w:pStyle w:val="Standard"/>
      </w:pPr>
      <w:r>
        <w:rPr>
          <w:b/>
        </w:rPr>
        <w:t>Ley Nº 17.823 (2004)</w:t>
      </w:r>
      <w:r>
        <w:t xml:space="preserve"> </w:t>
      </w:r>
      <w:r>
        <w:rPr>
          <w:i/>
        </w:rPr>
        <w:t>Códi</w:t>
      </w:r>
      <w:r>
        <w:rPr>
          <w:i/>
        </w:rPr>
        <w:t>go de la Niñez y la adolescencia en Uruguay.</w:t>
      </w:r>
    </w:p>
    <w:p w:rsidR="005B5CE3" w:rsidRDefault="005B5CE3">
      <w:pPr>
        <w:pStyle w:val="Standard"/>
      </w:pPr>
    </w:p>
    <w:p w:rsidR="005B5CE3" w:rsidRDefault="00642485">
      <w:pPr>
        <w:pStyle w:val="Standard"/>
      </w:pPr>
      <w:r>
        <w:rPr>
          <w:b/>
        </w:rPr>
        <w:t>Ley Nº 18.651 (2010)</w:t>
      </w:r>
      <w:r>
        <w:t xml:space="preserve"> </w:t>
      </w:r>
      <w:r>
        <w:rPr>
          <w:i/>
        </w:rPr>
        <w:t>Protección Integral de Personas con Discapacidad.</w:t>
      </w:r>
    </w:p>
    <w:p w:rsidR="005B5CE3" w:rsidRDefault="005B5CE3">
      <w:pPr>
        <w:pStyle w:val="Standard"/>
      </w:pPr>
    </w:p>
    <w:p w:rsidR="005B5CE3" w:rsidRDefault="00642485">
      <w:pPr>
        <w:pStyle w:val="Standard"/>
      </w:pPr>
      <w:r>
        <w:rPr>
          <w:b/>
        </w:rPr>
        <w:t xml:space="preserve">MEC (2014) </w:t>
      </w:r>
      <w:r>
        <w:rPr>
          <w:i/>
        </w:rPr>
        <w:t>Logros y nivel educativo alcanzado por la población 2013.</w:t>
      </w:r>
    </w:p>
    <w:p w:rsidR="005B5CE3" w:rsidRDefault="005B5CE3">
      <w:pPr>
        <w:pStyle w:val="Standard"/>
      </w:pPr>
    </w:p>
    <w:p w:rsidR="005B5CE3" w:rsidRDefault="00642485">
      <w:pPr>
        <w:pStyle w:val="Standard"/>
      </w:pPr>
      <w:r>
        <w:rPr>
          <w:b/>
        </w:rPr>
        <w:t>MEC (2014)</w:t>
      </w:r>
      <w:r>
        <w:t xml:space="preserve"> </w:t>
      </w:r>
      <w:r>
        <w:rPr>
          <w:i/>
        </w:rPr>
        <w:t>Anuario Estadístico de Educación 2013.</w:t>
      </w:r>
    </w:p>
    <w:p w:rsidR="005B5CE3" w:rsidRDefault="005B5CE3">
      <w:pPr>
        <w:pStyle w:val="Standard"/>
      </w:pPr>
    </w:p>
    <w:p w:rsidR="005B5CE3" w:rsidRDefault="00642485">
      <w:pPr>
        <w:pStyle w:val="Standard"/>
        <w:spacing w:after="200"/>
      </w:pPr>
      <w:r>
        <w:rPr>
          <w:b/>
        </w:rPr>
        <w:t>MIDES – OPP (2015</w:t>
      </w:r>
      <w:r>
        <w:rPr>
          <w:b/>
        </w:rPr>
        <w:t>)</w:t>
      </w:r>
      <w:r>
        <w:t xml:space="preserve"> </w:t>
      </w:r>
      <w:r>
        <w:rPr>
          <w:i/>
        </w:rPr>
        <w:t>Reporte Uruguay 2015</w:t>
      </w:r>
      <w:r>
        <w:t>. OPP, Montevideo.</w:t>
      </w:r>
    </w:p>
    <w:p w:rsidR="005B5CE3" w:rsidRDefault="00642485">
      <w:pPr>
        <w:pStyle w:val="Standard"/>
        <w:spacing w:after="200"/>
      </w:pPr>
      <w:r>
        <w:rPr>
          <w:b/>
        </w:rPr>
        <w:t>Ministerio de Salud  (2015)</w:t>
      </w:r>
      <w:r>
        <w:rPr>
          <w:b/>
          <w:i/>
        </w:rPr>
        <w:t xml:space="preserve"> </w:t>
      </w:r>
      <w:r>
        <w:rPr>
          <w:i/>
        </w:rPr>
        <w:t>Objetivos Sanitarios.</w:t>
      </w:r>
    </w:p>
    <w:p w:rsidR="005B5CE3" w:rsidRDefault="00642485">
      <w:pPr>
        <w:pStyle w:val="Standard"/>
        <w:spacing w:after="200"/>
      </w:pPr>
      <w:r>
        <w:rPr>
          <w:b/>
        </w:rPr>
        <w:t>Naciones Unidas (1989)</w:t>
      </w:r>
      <w:r>
        <w:t xml:space="preserve"> </w:t>
      </w:r>
      <w:r>
        <w:rPr>
          <w:i/>
        </w:rPr>
        <w:t>Convención sobre los Derechos del Niño.</w:t>
      </w:r>
    </w:p>
    <w:p w:rsidR="005B5CE3" w:rsidRDefault="00642485">
      <w:pPr>
        <w:pStyle w:val="Standard"/>
      </w:pPr>
      <w:r>
        <w:rPr>
          <w:b/>
        </w:rPr>
        <w:t>López, A. (coord.) (2004)</w:t>
      </w:r>
      <w:r>
        <w:t xml:space="preserve"> Adolescentes y sexualidad significados, discursos y acciones en uruguay. un estudio retrospectivo (1995 – 2004)</w:t>
      </w:r>
    </w:p>
    <w:p w:rsidR="005B5CE3" w:rsidRDefault="005B5CE3">
      <w:pPr>
        <w:pStyle w:val="Standard"/>
      </w:pPr>
    </w:p>
    <w:p w:rsidR="005B5CE3" w:rsidRDefault="00642485">
      <w:pPr>
        <w:pStyle w:val="Standard"/>
      </w:pPr>
      <w:r>
        <w:rPr>
          <w:b/>
        </w:rPr>
        <w:t>MIDES (2014)</w:t>
      </w:r>
      <w:r>
        <w:t xml:space="preserve"> </w:t>
      </w:r>
      <w:r>
        <w:rPr>
          <w:i/>
        </w:rPr>
        <w:t>Plan Nacional de Acceso a la Justicia y Protección Jurídica de Personas con Discapacidad 2014-2020.</w:t>
      </w:r>
    </w:p>
    <w:p w:rsidR="005B5CE3" w:rsidRDefault="00642485">
      <w:pPr>
        <w:pStyle w:val="Standard"/>
        <w:spacing w:before="200" w:after="200"/>
      </w:pPr>
      <w:r>
        <w:rPr>
          <w:b/>
        </w:rPr>
        <w:t>MIDES (2014b)</w:t>
      </w:r>
      <w:r>
        <w:t xml:space="preserve"> Identificación</w:t>
      </w:r>
      <w:r>
        <w:t xml:space="preserve"> y análisis del Gasto Público Social en Uruguay 1989-2012.</w:t>
      </w:r>
    </w:p>
    <w:p w:rsidR="005B5CE3" w:rsidRDefault="00642485">
      <w:pPr>
        <w:pStyle w:val="Standard"/>
      </w:pPr>
      <w:r>
        <w:rPr>
          <w:b/>
        </w:rPr>
        <w:t>Mujer y Salud en Uruguay, Observatorio Nacional en género y salud sexual y reproductiva en Uruguay (2015):</w:t>
      </w:r>
      <w:r>
        <w:t xml:space="preserve">  </w:t>
      </w:r>
      <w:r>
        <w:rPr>
          <w:i/>
        </w:rPr>
        <w:t>Necesidades y demandas en salud sexual y reproductiva en varones adolescentes uruguayos.</w:t>
      </w:r>
    </w:p>
    <w:p w:rsidR="005B5CE3" w:rsidRDefault="005B5CE3">
      <w:pPr>
        <w:pStyle w:val="Standard"/>
      </w:pPr>
    </w:p>
    <w:p w:rsidR="005B5CE3" w:rsidRDefault="00642485">
      <w:pPr>
        <w:pStyle w:val="Standard"/>
        <w:spacing w:after="200"/>
      </w:pPr>
      <w:r>
        <w:rPr>
          <w:b/>
        </w:rPr>
        <w:t>Mujer y Salud en Uruguay, Observatorio Nacional en género y salud sexual y reproductiva en Uruguay (2013)</w:t>
      </w:r>
      <w:r>
        <w:t xml:space="preserve"> </w:t>
      </w:r>
      <w:r>
        <w:rPr>
          <w:i/>
        </w:rPr>
        <w:t>Necesidades y demandas en salud sexual y reproductiva en mujeres adolescentes uruguayas.</w:t>
      </w:r>
    </w:p>
    <w:p w:rsidR="005B5CE3" w:rsidRDefault="00642485">
      <w:pPr>
        <w:pStyle w:val="Standard"/>
        <w:spacing w:after="200"/>
      </w:pPr>
      <w:r>
        <w:rPr>
          <w:b/>
        </w:rPr>
        <w:t>Narodowski, Mariano (2013)</w:t>
      </w:r>
      <w:r>
        <w:t xml:space="preserve"> </w:t>
      </w:r>
      <w:r>
        <w:rPr>
          <w:i/>
        </w:rPr>
        <w:t>Hacia un mundo sin adultos. Infan</w:t>
      </w:r>
      <w:r>
        <w:rPr>
          <w:i/>
        </w:rPr>
        <w:t>cias híper y desrealizadas en la era de los derechos del niño.</w:t>
      </w:r>
      <w:r>
        <w:t xml:space="preserve"> Actualidades pedagógicas ISSN 0120-1700. N°62, pp. 15-36.</w:t>
      </w:r>
    </w:p>
    <w:p w:rsidR="005B5CE3" w:rsidRDefault="00642485">
      <w:pPr>
        <w:pStyle w:val="Standard"/>
        <w:spacing w:after="200" w:line="240" w:lineRule="auto"/>
      </w:pPr>
      <w:r>
        <w:rPr>
          <w:b/>
        </w:rPr>
        <w:t>Observatorio de Infancia y Adolescencia INAU (2016)</w:t>
      </w:r>
      <w:r>
        <w:t xml:space="preserve"> Informe. Población atendida por los Proyectos Calle de Montevideo. En edición.</w:t>
      </w:r>
    </w:p>
    <w:p w:rsidR="005B5CE3" w:rsidRDefault="00642485">
      <w:pPr>
        <w:pStyle w:val="Standard"/>
        <w:spacing w:after="200"/>
      </w:pPr>
      <w:r>
        <w:rPr>
          <w:b/>
        </w:rPr>
        <w:t>Obse</w:t>
      </w:r>
      <w:r>
        <w:rPr>
          <w:b/>
        </w:rPr>
        <w:t xml:space="preserve">rvatorio Social de Programas e Indicadores (2010): </w:t>
      </w:r>
      <w:r>
        <w:rPr>
          <w:i/>
        </w:rPr>
        <w:t>Juventudes en Uruguay. En qué andamos y cómo somos,</w:t>
      </w:r>
      <w:r>
        <w:t xml:space="preserve"> conTexto N⁰3, Publicación periódica del Observatorio Social de Programas e Indicadores. Módulo Juventudes.</w:t>
      </w:r>
    </w:p>
    <w:p w:rsidR="005B5CE3" w:rsidRDefault="00642485">
      <w:pPr>
        <w:pStyle w:val="Standard"/>
      </w:pPr>
      <w:r>
        <w:rPr>
          <w:b/>
        </w:rPr>
        <w:lastRenderedPageBreak/>
        <w:t>Postman, Neil (1999)</w:t>
      </w:r>
      <w:r>
        <w:t xml:space="preserve"> </w:t>
      </w:r>
      <w:r>
        <w:rPr>
          <w:i/>
        </w:rPr>
        <w:t>O desaparecimento da Infâ</w:t>
      </w:r>
      <w:r>
        <w:rPr>
          <w:i/>
        </w:rPr>
        <w:t>ncia.</w:t>
      </w:r>
      <w:r>
        <w:t xml:space="preserve"> Rio de Janeiro. Graphia</w:t>
      </w:r>
    </w:p>
    <w:p w:rsidR="005B5CE3" w:rsidRDefault="00642485">
      <w:pPr>
        <w:pStyle w:val="Standard"/>
        <w:spacing w:after="200"/>
      </w:pPr>
      <w:r>
        <w:t xml:space="preserve">Ranis Gustav y Frances Stewart (2002). “Crecimiento económico y desarrollo humano en América Latina”. </w:t>
      </w:r>
      <w:r>
        <w:rPr>
          <w:i/>
        </w:rPr>
        <w:t>Revista de la Cepal</w:t>
      </w:r>
      <w:r>
        <w:t xml:space="preserve"> n°78.</w:t>
      </w:r>
    </w:p>
    <w:p w:rsidR="005B5CE3" w:rsidRDefault="00642485">
      <w:pPr>
        <w:pStyle w:val="Standard"/>
        <w:spacing w:after="200"/>
      </w:pPr>
      <w:r>
        <w:rPr>
          <w:b/>
        </w:rPr>
        <w:t xml:space="preserve">SIPIAV (2016) </w:t>
      </w:r>
      <w:r>
        <w:rPr>
          <w:i/>
        </w:rPr>
        <w:t>Informe SIPIAV 2015.</w:t>
      </w:r>
      <w:r>
        <w:t xml:space="preserve"> En edición.</w:t>
      </w:r>
    </w:p>
    <w:p w:rsidR="005B5CE3" w:rsidRDefault="00642485">
      <w:pPr>
        <w:pStyle w:val="Standard"/>
      </w:pPr>
      <w:r>
        <w:rPr>
          <w:b/>
        </w:rPr>
        <w:t xml:space="preserve">Speranza, N. y otros. (2008) </w:t>
      </w:r>
      <w:r>
        <w:rPr>
          <w:i/>
        </w:rPr>
        <w:t>Uso de metilfenidato e</w:t>
      </w:r>
      <w:r>
        <w:rPr>
          <w:i/>
        </w:rPr>
        <w:t>n niños y adolescentes usuarios de servicios de asistencia pública de Montevideo.</w:t>
      </w:r>
      <w:r>
        <w:t xml:space="preserve"> Archivos de Pediatría del Uruguay; 79 (4): 277-283. Disponible en URL: </w:t>
      </w:r>
      <w:hyperlink r:id="rId12" w:history="1">
        <w:r>
          <w:rPr>
            <w:color w:val="0000FF"/>
            <w:u w:val="single"/>
          </w:rPr>
          <w:t>htt</w:t>
        </w:r>
        <w:r>
          <w:rPr>
            <w:color w:val="0000FF"/>
            <w:u w:val="single"/>
          </w:rPr>
          <w:t>p://www.scielo.edu.uy/scielo.php?pid=S1688-12492008000400002&amp;script=sci_arttext</w:t>
        </w:r>
      </w:hyperlink>
    </w:p>
    <w:p w:rsidR="005B5CE3" w:rsidRDefault="00642485">
      <w:pPr>
        <w:pStyle w:val="Standard"/>
      </w:pPr>
      <w:hyperlink r:id="rId13" w:history="1"/>
    </w:p>
    <w:p w:rsidR="005B5CE3" w:rsidRDefault="00642485">
      <w:pPr>
        <w:pStyle w:val="Standard"/>
        <w:spacing w:after="200"/>
      </w:pPr>
      <w:r>
        <w:rPr>
          <w:b/>
        </w:rPr>
        <w:t xml:space="preserve">Rossel, C. (2013) </w:t>
      </w:r>
      <w:r>
        <w:t xml:space="preserve">Desbalance etario del bienestar. El lugar de la infancia </w:t>
      </w:r>
      <w:r>
        <w:t>en la protección social de América Latina. CEPAL. UNICEF.</w:t>
      </w:r>
    </w:p>
    <w:p w:rsidR="005B5CE3" w:rsidRDefault="00642485">
      <w:pPr>
        <w:pStyle w:val="Standard"/>
        <w:spacing w:after="200"/>
      </w:pPr>
      <w:r>
        <w:rPr>
          <w:b/>
        </w:rPr>
        <w:t xml:space="preserve">UNICEF (2010) </w:t>
      </w:r>
      <w:r>
        <w:rPr>
          <w:i/>
        </w:rPr>
        <w:t>Inversión pública en la infancia y la adolescencia en México 2007-2010.</w:t>
      </w:r>
    </w:p>
    <w:p w:rsidR="005B5CE3" w:rsidRDefault="00642485">
      <w:pPr>
        <w:pStyle w:val="Standard"/>
        <w:spacing w:after="200"/>
      </w:pPr>
      <w:r>
        <w:rPr>
          <w:b/>
        </w:rPr>
        <w:t>UNICEF (2013)</w:t>
      </w:r>
      <w:r>
        <w:t xml:space="preserve"> </w:t>
      </w:r>
      <w:r>
        <w:rPr>
          <w:i/>
        </w:rPr>
        <w:t>La inversión en la infancia. Una condición indispensable para el desarrollo económico y social eq</w:t>
      </w:r>
      <w:r>
        <w:rPr>
          <w:i/>
        </w:rPr>
        <w:t>uitativo y sostenible. Situación de Paraguay.</w:t>
      </w:r>
    </w:p>
    <w:p w:rsidR="005B5CE3" w:rsidRDefault="00642485">
      <w:pPr>
        <w:pStyle w:val="Standard"/>
      </w:pPr>
      <w:r>
        <w:rPr>
          <w:b/>
        </w:rPr>
        <w:t>UNFPA (2013)</w:t>
      </w:r>
      <w:r>
        <w:t xml:space="preserve"> </w:t>
      </w:r>
      <w:hyperlink r:id="rId14" w:history="1">
        <w:r>
          <w:t>Informe Estado de la Población Mundial 2013: Enfrentar el reto del embarazo adolescente</w:t>
        </w:r>
      </w:hyperlink>
    </w:p>
    <w:p w:rsidR="005B5CE3" w:rsidRDefault="005B5CE3">
      <w:pPr>
        <w:pStyle w:val="Standard"/>
      </w:pPr>
    </w:p>
    <w:p w:rsidR="005B5CE3" w:rsidRDefault="00642485">
      <w:pPr>
        <w:pStyle w:val="Standard"/>
      </w:pPr>
      <w:r>
        <w:rPr>
          <w:b/>
        </w:rPr>
        <w:t>Varela, C., Fostik, A (AÑO)</w:t>
      </w:r>
      <w:r>
        <w:t xml:space="preserve"> </w:t>
      </w:r>
      <w:r>
        <w:rPr>
          <w:i/>
        </w:rPr>
        <w:t>Maternidad en la adolescencia en el Uruguay: ¿incorporación an</w:t>
      </w:r>
      <w:r>
        <w:rPr>
          <w:i/>
        </w:rPr>
        <w:t>ticipada y precaria a la vida adulta?</w:t>
      </w:r>
    </w:p>
    <w:p w:rsidR="005B5CE3" w:rsidRDefault="005B5CE3">
      <w:pPr>
        <w:pStyle w:val="Standard"/>
        <w:spacing w:after="200"/>
      </w:pPr>
    </w:p>
    <w:p w:rsidR="005B5CE3" w:rsidRDefault="00642485">
      <w:pPr>
        <w:pStyle w:val="Standard"/>
        <w:spacing w:after="200"/>
      </w:pPr>
      <w:r>
        <w:rPr>
          <w:b/>
        </w:rPr>
        <w:t>Viola, Garrido &amp; Gotta (2007)</w:t>
      </w:r>
      <w:r>
        <w:t xml:space="preserve"> </w:t>
      </w:r>
      <w:r>
        <w:rPr>
          <w:i/>
        </w:rPr>
        <w:t>Comunicación de Informe de Investigación CSIC: “Validación del Inventario sobre el comportamiento de  niños y adolescentes de 6 a 11 años (CBCL) en el Uruguay. Primera fase”</w:t>
      </w:r>
      <w:r>
        <w:t xml:space="preserve"> en Speranza,</w:t>
      </w:r>
      <w:r>
        <w:t xml:space="preserve"> N. y otros. (2008) “Uso de metilfenidato en niños y adolescentes usuarios de servicios de asistencia pública de Montevideo”. Archivos de Pediatría del Uruguay; 79 (4): 277-283. Disponible en URL: </w:t>
      </w:r>
      <w:hyperlink r:id="rId15" w:history="1">
        <w:r>
          <w:rPr>
            <w:color w:val="0000FF"/>
            <w:u w:val="single"/>
          </w:rPr>
          <w:t>http://www.scielo.edu.uy/scielo.php?pid=S1688-12492008000400002&amp;script=sci_arttext</w:t>
        </w:r>
      </w:hyperlink>
    </w:p>
    <w:p w:rsidR="005B5CE3" w:rsidRDefault="00642485">
      <w:pPr>
        <w:pStyle w:val="Standard"/>
        <w:spacing w:after="200"/>
      </w:pPr>
      <w:hyperlink r:id="rId16" w:history="1">
        <w:r>
          <w:rPr>
            <w:color w:val="1155CC"/>
            <w:u w:val="single"/>
          </w:rPr>
          <w:t>http://observatoriosocial.mides.gub.uy/portalMides/ind</w:t>
        </w:r>
        <w:r>
          <w:rPr>
            <w:color w:val="1155CC"/>
            <w:u w:val="single"/>
          </w:rPr>
          <w:t>ex.php#</w:t>
        </w:r>
      </w:hyperlink>
    </w:p>
    <w:p w:rsidR="005B5CE3" w:rsidRDefault="00642485">
      <w:pPr>
        <w:pStyle w:val="Standard"/>
        <w:spacing w:after="200"/>
      </w:pPr>
      <w:hyperlink r:id="rId17" w:history="1"/>
    </w:p>
    <w:p w:rsidR="005B5CE3" w:rsidRDefault="005B5CE3">
      <w:pPr>
        <w:pStyle w:val="Standard"/>
      </w:pPr>
    </w:p>
    <w:sectPr w:rsidR="005B5CE3">
      <w:headerReference w:type="default" r:id="rId18"/>
      <w:footerReference w:type="default" r:id="rId19"/>
      <w:pgSz w:w="11906" w:h="16838"/>
      <w:pgMar w:top="1497" w:right="1440" w:bottom="1497" w:left="1440" w:header="1440" w:footer="144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485" w:rsidRDefault="00642485">
      <w:pPr>
        <w:spacing w:line="240" w:lineRule="auto"/>
      </w:pPr>
      <w:r>
        <w:separator/>
      </w:r>
    </w:p>
  </w:endnote>
  <w:endnote w:type="continuationSeparator" w:id="0">
    <w:p w:rsidR="00642485" w:rsidRDefault="006424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icrosoft YaHei">
    <w:charset w:val="00"/>
    <w:family w:val="auto"/>
    <w:pitch w:val="variable"/>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5D5" w:rsidRDefault="00642485">
    <w:pPr>
      <w:pStyle w:val="Standard"/>
      <w:spacing w:after="720"/>
      <w:jc w:val="right"/>
    </w:pPr>
    <w:r>
      <w:fldChar w:fldCharType="begin"/>
    </w:r>
    <w:r>
      <w:instrText xml:space="preserve"> PAGE </w:instrText>
    </w:r>
    <w:r>
      <w:fldChar w:fldCharType="separate"/>
    </w:r>
    <w:r w:rsidR="00367B34">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485" w:rsidRDefault="00642485">
      <w:pPr>
        <w:spacing w:line="240" w:lineRule="auto"/>
      </w:pPr>
      <w:r>
        <w:rPr>
          <w:color w:val="000000"/>
        </w:rPr>
        <w:separator/>
      </w:r>
    </w:p>
  </w:footnote>
  <w:footnote w:type="continuationSeparator" w:id="0">
    <w:p w:rsidR="00642485" w:rsidRDefault="00642485">
      <w:pPr>
        <w:spacing w:line="240" w:lineRule="auto"/>
      </w:pPr>
      <w:r>
        <w:continuationSeparator/>
      </w:r>
    </w:p>
  </w:footnote>
  <w:footnote w:id="1">
    <w:p w:rsidR="005B5CE3" w:rsidRDefault="00642485">
      <w:pPr>
        <w:pStyle w:val="Standard"/>
        <w:spacing w:line="240" w:lineRule="auto"/>
      </w:pPr>
      <w:r>
        <w:rPr>
          <w:rStyle w:val="Refdenotaalpie"/>
        </w:rPr>
        <w:footnoteRef/>
      </w:r>
      <w:r>
        <w:rPr>
          <w:sz w:val="20"/>
          <w:szCs w:val="20"/>
        </w:rPr>
        <w:t>Al que define como “el reconocimi</w:t>
      </w:r>
      <w:r>
        <w:rPr>
          <w:sz w:val="20"/>
          <w:szCs w:val="20"/>
        </w:rPr>
        <w:t>ento y respeto de los derechos inherentes a su calidad de persona humana”, enfatizando que “este principio no se podrá invocar para menoscabo de tales derechos” (art. 6).</w:t>
      </w:r>
    </w:p>
  </w:footnote>
  <w:footnote w:id="2">
    <w:p w:rsidR="005B5CE3" w:rsidRDefault="00642485">
      <w:pPr>
        <w:pStyle w:val="Standard"/>
        <w:spacing w:line="240" w:lineRule="auto"/>
      </w:pPr>
      <w:r>
        <w:rPr>
          <w:rStyle w:val="Refdenotaalpie"/>
        </w:rPr>
        <w:footnoteRef/>
      </w:r>
      <w:r>
        <w:rPr>
          <w:sz w:val="20"/>
          <w:szCs w:val="20"/>
        </w:rPr>
        <w:t>Nombre establecido por el propi</w:t>
      </w:r>
      <w:r>
        <w:rPr>
          <w:sz w:val="20"/>
          <w:szCs w:val="20"/>
        </w:rPr>
        <w:t>o código en su art. 223, en sustitución de “Instituto Nacional del Menor”, su denominación anterior.</w:t>
      </w:r>
    </w:p>
  </w:footnote>
  <w:footnote w:id="3">
    <w:p w:rsidR="005B5CE3" w:rsidRDefault="00642485">
      <w:pPr>
        <w:pStyle w:val="Standard"/>
        <w:spacing w:line="240" w:lineRule="auto"/>
      </w:pPr>
      <w:r>
        <w:rPr>
          <w:rStyle w:val="Refdenotaalpie"/>
        </w:rPr>
        <w:footnoteRef/>
      </w:r>
      <w:r>
        <w:rPr>
          <w:sz w:val="20"/>
          <w:szCs w:val="20"/>
        </w:rPr>
        <w:t>Si bien en este Plan el ciclo de vida primera infancia va desde 0 a 5 años y 11 meses, la riqueza de los datos provenientes de esta encuesta hacen pertinente su utilización.</w:t>
      </w:r>
    </w:p>
  </w:footnote>
  <w:footnote w:id="4">
    <w:p w:rsidR="005B5CE3" w:rsidRDefault="00642485">
      <w:pPr>
        <w:pStyle w:val="Standard"/>
        <w:spacing w:line="240" w:lineRule="auto"/>
      </w:pPr>
      <w:r>
        <w:rPr>
          <w:rStyle w:val="Refdenotaalpie"/>
        </w:rPr>
        <w:footnoteRef/>
      </w:r>
      <w:r>
        <w:rPr>
          <w:sz w:val="20"/>
          <w:szCs w:val="20"/>
        </w:rPr>
        <w:t>Se</w:t>
      </w:r>
      <w:r>
        <w:rPr>
          <w:sz w:val="20"/>
          <w:szCs w:val="20"/>
        </w:rPr>
        <w:t xml:space="preserve"> basa en el documento elaborado por el grupo de instituciones que organizaron el Seminario “De primera y para siempre”: Dirección Nacional Uruguay Crece Contigo del Ministerio de Desarrollo Social, Ministerio de Salud Pública, Ministerio de Educación y Cul</w:t>
      </w:r>
      <w:r>
        <w:rPr>
          <w:sz w:val="20"/>
          <w:szCs w:val="20"/>
        </w:rPr>
        <w:t>tura, el área de primera infancia del Sistema Nacional Integrado de Cuidados y el Instituto del Niño y Adolescente del Uruguay.</w:t>
      </w:r>
    </w:p>
    <w:p w:rsidR="005B5CE3" w:rsidRDefault="005B5CE3">
      <w:pPr>
        <w:pStyle w:val="Standard"/>
        <w:spacing w:line="240" w:lineRule="auto"/>
      </w:pPr>
    </w:p>
  </w:footnote>
  <w:footnote w:id="5">
    <w:p w:rsidR="005B5CE3" w:rsidRDefault="00642485">
      <w:pPr>
        <w:pStyle w:val="Standard"/>
        <w:keepNext/>
        <w:jc w:val="left"/>
      </w:pPr>
      <w:r>
        <w:rPr>
          <w:rStyle w:val="Refdenotaalpie"/>
        </w:rPr>
        <w:footnoteRef/>
      </w:r>
      <w:r>
        <w:rPr>
          <w:color w:val="00000A"/>
          <w:sz w:val="20"/>
          <w:szCs w:val="20"/>
        </w:rPr>
        <w:t xml:space="preserve">Según los datos aportados por UNICEF </w:t>
      </w:r>
      <w:r>
        <w:rPr>
          <w:color w:val="00000A"/>
          <w:sz w:val="20"/>
          <w:szCs w:val="20"/>
        </w:rPr>
        <w:t>en el período comprendido entre el año 2006 y 2010 el 38% de los nacimientos registrados a nivel mundial fueron por cesárea.</w:t>
      </w:r>
    </w:p>
    <w:p w:rsidR="005B5CE3" w:rsidRDefault="005B5CE3">
      <w:pPr>
        <w:pStyle w:val="Standard"/>
        <w:keepNext/>
        <w:jc w:val="left"/>
      </w:pPr>
    </w:p>
  </w:footnote>
  <w:footnote w:id="6">
    <w:p w:rsidR="005B5CE3" w:rsidRDefault="00642485">
      <w:pPr>
        <w:pStyle w:val="Standard"/>
        <w:spacing w:line="240" w:lineRule="auto"/>
      </w:pPr>
      <w:r>
        <w:rPr>
          <w:rStyle w:val="Refdenotaalpie"/>
        </w:rPr>
        <w:footnoteRef/>
      </w:r>
      <w:r>
        <w:rPr>
          <w:sz w:val="20"/>
          <w:szCs w:val="20"/>
        </w:rPr>
        <w:t xml:space="preserve">El </w:t>
      </w:r>
      <w:r>
        <w:rPr>
          <w:i/>
          <w:sz w:val="20"/>
          <w:szCs w:val="20"/>
        </w:rPr>
        <w:t xml:space="preserve">nivel de contexto sociocultural 2010 </w:t>
      </w:r>
      <w:r>
        <w:rPr>
          <w:sz w:val="20"/>
          <w:szCs w:val="20"/>
        </w:rPr>
        <w:t>se construyó dividiendo el total de escuelas públicas en cinco grupos de igual cantidad, de modo que el quintil 1 agrupa al 20 % de las escuelas de contexto más vulnerable y el quintil 5 al 20 % de las d</w:t>
      </w:r>
      <w:r>
        <w:rPr>
          <w:sz w:val="20"/>
          <w:szCs w:val="20"/>
        </w:rPr>
        <w:t>e contexto menos vulnerable. Esta clasificación se hace por separado para el conjunto de escuelas urbanas, por un lado, y para las rurales, por otro (OPP – MIDES 2015: 63).</w:t>
      </w:r>
    </w:p>
  </w:footnote>
  <w:footnote w:id="7">
    <w:p w:rsidR="005B5CE3" w:rsidRDefault="00642485">
      <w:pPr>
        <w:pStyle w:val="Standard"/>
        <w:spacing w:line="240" w:lineRule="auto"/>
      </w:pPr>
      <w:r>
        <w:rPr>
          <w:rStyle w:val="Refdenotaalpie"/>
        </w:rPr>
        <w:footnoteRef/>
      </w:r>
      <w:r>
        <w:rPr>
          <w:sz w:val="20"/>
          <w:szCs w:val="20"/>
        </w:rPr>
        <w:t>Vale aclarar que la ENAJ toma como referencia el tramo de 12 a 29 años para su definición de juventud.</w:t>
      </w:r>
    </w:p>
  </w:footnote>
  <w:footnote w:id="8">
    <w:p w:rsidR="005B5CE3" w:rsidRDefault="00642485">
      <w:pPr>
        <w:pStyle w:val="Standard"/>
        <w:spacing w:line="240" w:lineRule="auto"/>
      </w:pPr>
      <w:r>
        <w:rPr>
          <w:rStyle w:val="Refdenotaalpie"/>
        </w:rPr>
        <w:footnoteRef/>
      </w:r>
      <w:r>
        <w:rPr>
          <w:sz w:val="20"/>
          <w:szCs w:val="20"/>
        </w:rPr>
        <w:t>Grupo de edad de 12 a 17 años para la ENAJ.</w:t>
      </w:r>
    </w:p>
  </w:footnote>
  <w:footnote w:id="9">
    <w:p w:rsidR="005B5CE3" w:rsidRDefault="00642485">
      <w:pPr>
        <w:pStyle w:val="Standard"/>
        <w:spacing w:line="240" w:lineRule="auto"/>
      </w:pPr>
      <w:r>
        <w:rPr>
          <w:rStyle w:val="Refdenotaalpie"/>
        </w:rPr>
        <w:footnoteRef/>
      </w:r>
      <w:r>
        <w:rPr>
          <w:sz w:val="20"/>
          <w:szCs w:val="20"/>
        </w:rPr>
        <w:t>Refiere a niños y adolescentes que duermen en calle; desvinculados de toda institución sea familiar, educativa, recreativa</w:t>
      </w:r>
      <w:r>
        <w:rPr>
          <w:sz w:val="20"/>
          <w:szCs w:val="20"/>
        </w:rPr>
        <w:t>, de salud, entre otras. Caracterizados por su tiempo de permanencia constante en calle realizando estrategias de sobrevivencia, entre las que se destacan la mendicidad, trabajo infantil, actividades en conflicto con la ley, situaciones de explotación sexu</w:t>
      </w:r>
      <w:r>
        <w:rPr>
          <w:sz w:val="20"/>
          <w:szCs w:val="20"/>
        </w:rPr>
        <w:t>al comercial, etc. Contexto que encierra daños profundos en los NN y A y que se acentúa con problemáticas de consumo, salud física y mental, de exposición constante a variadas formas de violencias, con enormes dificultades para insertarse en redes sociales</w:t>
      </w:r>
      <w:r>
        <w:rPr>
          <w:sz w:val="20"/>
          <w:szCs w:val="20"/>
        </w:rPr>
        <w:t xml:space="preserve"> y comunitarias.</w:t>
      </w:r>
    </w:p>
  </w:footnote>
  <w:footnote w:id="10">
    <w:p w:rsidR="005B5CE3" w:rsidRDefault="00642485">
      <w:pPr>
        <w:pStyle w:val="Standard"/>
        <w:spacing w:line="240" w:lineRule="auto"/>
      </w:pPr>
      <w:r>
        <w:rPr>
          <w:rStyle w:val="Refdenotaalpie"/>
        </w:rPr>
        <w:footnoteRef/>
      </w:r>
      <w:r>
        <w:rPr>
          <w:sz w:val="20"/>
          <w:szCs w:val="20"/>
        </w:rPr>
        <w:t>Este apartado se realiza en función de los datos aportados desde el Repertorio de Políticas Sociales del Observatorio Social de Políticas Sociales, DINEM-MIDE</w:t>
      </w:r>
      <w:r>
        <w:rPr>
          <w:sz w:val="20"/>
          <w:szCs w:val="20"/>
        </w:rPr>
        <w:t>S.</w:t>
      </w:r>
    </w:p>
  </w:footnote>
  <w:footnote w:id="11">
    <w:p w:rsidR="005B5CE3" w:rsidRDefault="00642485">
      <w:pPr>
        <w:pStyle w:val="Standard"/>
        <w:spacing w:line="240" w:lineRule="auto"/>
      </w:pPr>
      <w:r>
        <w:rPr>
          <w:rStyle w:val="Refdenotaalpie"/>
        </w:rPr>
        <w:footnoteRef/>
      </w:r>
      <w:r>
        <w:rPr>
          <w:sz w:val="20"/>
          <w:szCs w:val="20"/>
        </w:rPr>
        <w:t>Apoyo a las familias, Protección a la pri</w:t>
      </w:r>
      <w:r>
        <w:rPr>
          <w:sz w:val="20"/>
          <w:szCs w:val="20"/>
        </w:rPr>
        <w:t>mera infancia, Fortalecimiento y transformación del sistema educativo, Promoción de hábitos saludables de vida en niños y adolescentes, Generación de oportunidades de integración social que revieran la tendencia a la segmentación, Promoción de la participa</w:t>
      </w:r>
      <w:r>
        <w:rPr>
          <w:sz w:val="20"/>
          <w:szCs w:val="20"/>
        </w:rPr>
        <w:t>ción democrática, Fortalecimiento del sistema de protección, Conciencia ciudadana y transformación de los vínculos intergeneracionales, El aprovechamiento del potencial de emigrantes e inmigrantes.</w:t>
      </w:r>
    </w:p>
  </w:footnote>
  <w:footnote w:id="12">
    <w:p w:rsidR="005B5CE3" w:rsidRDefault="00642485">
      <w:pPr>
        <w:pStyle w:val="Standard"/>
        <w:spacing w:line="240" w:lineRule="auto"/>
      </w:pPr>
      <w:r>
        <w:rPr>
          <w:rStyle w:val="Refdenotaalpie"/>
        </w:rPr>
        <w:footnoteRef/>
      </w:r>
      <w:r>
        <w:rPr>
          <w:sz w:val="20"/>
          <w:szCs w:val="20"/>
        </w:rPr>
        <w:t>CNPS (2014) ENIA. Informe de Avance del Plan de Acción 2010-2015.</w:t>
      </w:r>
    </w:p>
  </w:footnote>
  <w:footnote w:id="13">
    <w:p w:rsidR="005B5CE3" w:rsidRDefault="00642485">
      <w:pPr>
        <w:pStyle w:val="Standard"/>
        <w:spacing w:line="240" w:lineRule="auto"/>
      </w:pPr>
      <w:r>
        <w:rPr>
          <w:rStyle w:val="Refdenotaalpie"/>
        </w:rPr>
        <w:footnoteRef/>
      </w:r>
      <w:r>
        <w:rPr>
          <w:sz w:val="20"/>
          <w:szCs w:val="20"/>
        </w:rPr>
        <w:t>Estrategia Nacional para la Infancia y la Adolescencia 2010-2030. Bases para su implementación. República Oriental del Uruguay. Diciembre de 2008.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5D5" w:rsidRDefault="00642485">
    <w:pPr>
      <w:pStyle w:val="Standard"/>
      <w:tabs>
        <w:tab w:val="center" w:pos="4252"/>
        <w:tab w:val="right" w:pos="8504"/>
      </w:tabs>
      <w:spacing w:before="720"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3662"/>
    <w:multiLevelType w:val="multilevel"/>
    <w:tmpl w:val="06C4E13E"/>
    <w:styleLink w:val="WWNum6"/>
    <w:lvl w:ilvl="0">
      <w:start w:val="1"/>
      <w:numFmt w:val="lowerLetter"/>
      <w:lvlText w:val="%1)"/>
      <w:lvlJc w:val="left"/>
      <w:rPr>
        <w:b/>
        <w:u w:val="none"/>
      </w:rPr>
    </w:lvl>
    <w:lvl w:ilvl="1">
      <w:start w:val="1"/>
      <w:numFmt w:val="lowerRoman"/>
      <w:lvlText w:val="%2)"/>
      <w:lvlJc w:val="right"/>
      <w:rPr>
        <w:u w:val="none"/>
      </w:rPr>
    </w:lvl>
    <w:lvl w:ilvl="2">
      <w:start w:val="1"/>
      <w:numFmt w:val="decimal"/>
      <w:lvlText w:val="%1.%2.%3)"/>
      <w:lvlJc w:val="left"/>
      <w:rPr>
        <w:u w:val="none"/>
      </w:rPr>
    </w:lvl>
    <w:lvl w:ilvl="3">
      <w:start w:val="1"/>
      <w:numFmt w:val="lowerLetter"/>
      <w:lvlText w:val="(%1.%2.%3.%4)"/>
      <w:lvlJc w:val="left"/>
      <w:rPr>
        <w:u w:val="none"/>
      </w:rPr>
    </w:lvl>
    <w:lvl w:ilvl="4">
      <w:start w:val="1"/>
      <w:numFmt w:val="lowerRoman"/>
      <w:lvlText w:val="(%1.%2.%3.%4.%5)"/>
      <w:lvlJc w:val="right"/>
      <w:rPr>
        <w:u w:val="none"/>
      </w:rPr>
    </w:lvl>
    <w:lvl w:ilvl="5">
      <w:start w:val="1"/>
      <w:numFmt w:val="decimal"/>
      <w:lvlText w:val="(%1.%2.%3.%4.%5.%6)"/>
      <w:lvlJc w:val="left"/>
      <w:rPr>
        <w:u w:val="none"/>
      </w:rPr>
    </w:lvl>
    <w:lvl w:ilvl="6">
      <w:start w:val="1"/>
      <w:numFmt w:val="lowerLetter"/>
      <w:lvlText w:val="%1.%2.%3.%4.%5.%6.%7."/>
      <w:lvlJc w:val="left"/>
      <w:rPr>
        <w:u w:val="none"/>
      </w:rPr>
    </w:lvl>
    <w:lvl w:ilvl="7">
      <w:start w:val="1"/>
      <w:numFmt w:val="lowerRoman"/>
      <w:lvlText w:val="%1.%2.%3.%4.%5.%6.%7.%8."/>
      <w:lvlJc w:val="right"/>
      <w:rPr>
        <w:u w:val="none"/>
      </w:rPr>
    </w:lvl>
    <w:lvl w:ilvl="8">
      <w:start w:val="1"/>
      <w:numFmt w:val="decimal"/>
      <w:lvlText w:val="%1.%2.%3.%4.%5.%6.%7.%8.%9."/>
      <w:lvlJc w:val="left"/>
      <w:rPr>
        <w:u w:val="none"/>
      </w:rPr>
    </w:lvl>
  </w:abstractNum>
  <w:abstractNum w:abstractNumId="1">
    <w:nsid w:val="1620029B"/>
    <w:multiLevelType w:val="multilevel"/>
    <w:tmpl w:val="2DE4E5AE"/>
    <w:styleLink w:val="WWNum5"/>
    <w:lvl w:ilvl="0">
      <w:start w:val="1"/>
      <w:numFmt w:val="lowerLetter"/>
      <w:lvlText w:val="%1."/>
      <w:lvlJc w:val="left"/>
      <w:rPr>
        <w:u w:val="none"/>
      </w:rPr>
    </w:lvl>
    <w:lvl w:ilvl="1">
      <w:start w:val="1"/>
      <w:numFmt w:val="lowerRoman"/>
      <w:lvlText w:val="%2."/>
      <w:lvlJc w:val="right"/>
      <w:rPr>
        <w:u w:val="none"/>
      </w:rPr>
    </w:lvl>
    <w:lvl w:ilvl="2">
      <w:start w:val="1"/>
      <w:numFmt w:val="decimal"/>
      <w:lvlText w:val="%1.%2.%3."/>
      <w:lvlJc w:val="left"/>
      <w:rPr>
        <w:u w:val="none"/>
      </w:rPr>
    </w:lvl>
    <w:lvl w:ilvl="3">
      <w:start w:val="1"/>
      <w:numFmt w:val="lowerLetter"/>
      <w:lvlText w:val="%1.%2.%3.%4."/>
      <w:lvlJc w:val="left"/>
      <w:rPr>
        <w:u w:val="none"/>
      </w:rPr>
    </w:lvl>
    <w:lvl w:ilvl="4">
      <w:start w:val="1"/>
      <w:numFmt w:val="lowerRoman"/>
      <w:lvlText w:val="%1.%2.%3.%4.%5."/>
      <w:lvlJc w:val="right"/>
      <w:rPr>
        <w:u w:val="none"/>
      </w:rPr>
    </w:lvl>
    <w:lvl w:ilvl="5">
      <w:start w:val="1"/>
      <w:numFmt w:val="decimal"/>
      <w:lvlText w:val="%1.%2.%3.%4.%5.%6."/>
      <w:lvlJc w:val="left"/>
      <w:rPr>
        <w:u w:val="none"/>
      </w:rPr>
    </w:lvl>
    <w:lvl w:ilvl="6">
      <w:start w:val="1"/>
      <w:numFmt w:val="lowerLetter"/>
      <w:lvlText w:val="%1.%2.%3.%4.%5.%6.%7."/>
      <w:lvlJc w:val="left"/>
      <w:rPr>
        <w:u w:val="none"/>
      </w:rPr>
    </w:lvl>
    <w:lvl w:ilvl="7">
      <w:start w:val="1"/>
      <w:numFmt w:val="lowerRoman"/>
      <w:lvlText w:val="%1.%2.%3.%4.%5.%6.%7.%8."/>
      <w:lvlJc w:val="right"/>
      <w:rPr>
        <w:u w:val="none"/>
      </w:rPr>
    </w:lvl>
    <w:lvl w:ilvl="8">
      <w:start w:val="1"/>
      <w:numFmt w:val="decimal"/>
      <w:lvlText w:val="%1.%2.%3.%4.%5.%6.%7.%8.%9."/>
      <w:lvlJc w:val="left"/>
      <w:rPr>
        <w:u w:val="none"/>
      </w:rPr>
    </w:lvl>
  </w:abstractNum>
  <w:abstractNum w:abstractNumId="2">
    <w:nsid w:val="33173304"/>
    <w:multiLevelType w:val="multilevel"/>
    <w:tmpl w:val="9E4EB26C"/>
    <w:styleLink w:val="WWNum1"/>
    <w:lvl w:ilvl="0">
      <w:start w:val="1"/>
      <w:numFmt w:val="lowerLetter"/>
      <w:lvlText w:val="%1."/>
      <w:lvlJc w:val="left"/>
      <w:rPr>
        <w:color w:val="000000"/>
        <w:u w:val="none"/>
      </w:rPr>
    </w:lvl>
    <w:lvl w:ilvl="1">
      <w:start w:val="1"/>
      <w:numFmt w:val="lowerRoman"/>
      <w:lvlText w:val="%2."/>
      <w:lvlJc w:val="right"/>
      <w:rPr>
        <w:u w:val="none"/>
      </w:rPr>
    </w:lvl>
    <w:lvl w:ilvl="2">
      <w:start w:val="1"/>
      <w:numFmt w:val="decimal"/>
      <w:lvlText w:val="%1.%2.%3."/>
      <w:lvlJc w:val="left"/>
      <w:rPr>
        <w:u w:val="none"/>
      </w:rPr>
    </w:lvl>
    <w:lvl w:ilvl="3">
      <w:start w:val="1"/>
      <w:numFmt w:val="lowerLetter"/>
      <w:lvlText w:val="%1.%2.%3.%4."/>
      <w:lvlJc w:val="left"/>
      <w:rPr>
        <w:u w:val="none"/>
      </w:rPr>
    </w:lvl>
    <w:lvl w:ilvl="4">
      <w:start w:val="1"/>
      <w:numFmt w:val="lowerRoman"/>
      <w:lvlText w:val="%1.%2.%3.%4.%5."/>
      <w:lvlJc w:val="right"/>
      <w:rPr>
        <w:u w:val="none"/>
      </w:rPr>
    </w:lvl>
    <w:lvl w:ilvl="5">
      <w:start w:val="1"/>
      <w:numFmt w:val="decimal"/>
      <w:lvlText w:val="%1.%2.%3.%4.%5.%6."/>
      <w:lvlJc w:val="left"/>
      <w:rPr>
        <w:u w:val="none"/>
      </w:rPr>
    </w:lvl>
    <w:lvl w:ilvl="6">
      <w:start w:val="1"/>
      <w:numFmt w:val="lowerLetter"/>
      <w:lvlText w:val="%1.%2.%3.%4.%5.%6.%7."/>
      <w:lvlJc w:val="left"/>
      <w:rPr>
        <w:u w:val="none"/>
      </w:rPr>
    </w:lvl>
    <w:lvl w:ilvl="7">
      <w:start w:val="1"/>
      <w:numFmt w:val="lowerRoman"/>
      <w:lvlText w:val="%1.%2.%3.%4.%5.%6.%7.%8."/>
      <w:lvlJc w:val="right"/>
      <w:rPr>
        <w:u w:val="none"/>
      </w:rPr>
    </w:lvl>
    <w:lvl w:ilvl="8">
      <w:start w:val="1"/>
      <w:numFmt w:val="decimal"/>
      <w:lvlText w:val="%1.%2.%3.%4.%5.%6.%7.%8.%9."/>
      <w:lvlJc w:val="left"/>
      <w:rPr>
        <w:u w:val="none"/>
      </w:rPr>
    </w:lvl>
  </w:abstractNum>
  <w:abstractNum w:abstractNumId="3">
    <w:nsid w:val="415A6004"/>
    <w:multiLevelType w:val="multilevel"/>
    <w:tmpl w:val="64EE7ABC"/>
    <w:styleLink w:val="WWNum3"/>
    <w:lvl w:ilvl="0">
      <w:start w:val="1"/>
      <w:numFmt w:val="decimal"/>
      <w:lvlText w:val="%1."/>
      <w:lvlJc w:val="left"/>
      <w:rPr>
        <w:u w:val="none"/>
      </w:rPr>
    </w:lvl>
    <w:lvl w:ilvl="1">
      <w:start w:val="1"/>
      <w:numFmt w:val="lowerLetter"/>
      <w:lvlText w:val="%2."/>
      <w:lvlJc w:val="left"/>
      <w:rPr>
        <w:u w:val="none"/>
      </w:rPr>
    </w:lvl>
    <w:lvl w:ilvl="2">
      <w:start w:val="1"/>
      <w:numFmt w:val="lowerRoman"/>
      <w:lvlText w:val="%1.%2.%3."/>
      <w:lvlJc w:val="right"/>
      <w:rPr>
        <w:u w:val="none"/>
      </w:rPr>
    </w:lvl>
    <w:lvl w:ilvl="3">
      <w:start w:val="1"/>
      <w:numFmt w:val="decimal"/>
      <w:lvlText w:val="%1.%2.%3.%4."/>
      <w:lvlJc w:val="left"/>
      <w:rPr>
        <w:u w:val="none"/>
      </w:rPr>
    </w:lvl>
    <w:lvl w:ilvl="4">
      <w:start w:val="1"/>
      <w:numFmt w:val="lowerLetter"/>
      <w:lvlText w:val="%1.%2.%3.%4.%5."/>
      <w:lvlJc w:val="left"/>
      <w:rPr>
        <w:u w:val="none"/>
      </w:rPr>
    </w:lvl>
    <w:lvl w:ilvl="5">
      <w:start w:val="1"/>
      <w:numFmt w:val="lowerRoman"/>
      <w:lvlText w:val="%1.%2.%3.%4.%5.%6."/>
      <w:lvlJc w:val="right"/>
      <w:rPr>
        <w:u w:val="none"/>
      </w:rPr>
    </w:lvl>
    <w:lvl w:ilvl="6">
      <w:start w:val="1"/>
      <w:numFmt w:val="decimal"/>
      <w:lvlText w:val="%1.%2.%3.%4.%5.%6.%7."/>
      <w:lvlJc w:val="left"/>
      <w:rPr>
        <w:u w:val="none"/>
      </w:rPr>
    </w:lvl>
    <w:lvl w:ilvl="7">
      <w:start w:val="1"/>
      <w:numFmt w:val="lowerLetter"/>
      <w:lvlText w:val="%1.%2.%3.%4.%5.%6.%7.%8."/>
      <w:lvlJc w:val="left"/>
      <w:rPr>
        <w:u w:val="none"/>
      </w:rPr>
    </w:lvl>
    <w:lvl w:ilvl="8">
      <w:start w:val="1"/>
      <w:numFmt w:val="lowerRoman"/>
      <w:lvlText w:val="%1.%2.%3.%4.%5.%6.%7.%8.%9."/>
      <w:lvlJc w:val="right"/>
      <w:rPr>
        <w:u w:val="none"/>
      </w:rPr>
    </w:lvl>
  </w:abstractNum>
  <w:abstractNum w:abstractNumId="4">
    <w:nsid w:val="486211A9"/>
    <w:multiLevelType w:val="multilevel"/>
    <w:tmpl w:val="5F6C21E4"/>
    <w:styleLink w:val="WWNum2"/>
    <w:lvl w:ilvl="0">
      <w:start w:val="1"/>
      <w:numFmt w:val="decimal"/>
      <w:lvlText w:val="%1."/>
      <w:lvlJc w:val="left"/>
      <w:rPr>
        <w:b/>
        <w:position w:val="0"/>
        <w:vertAlign w:val="baseline"/>
      </w:rPr>
    </w:lvl>
    <w:lvl w:ilvl="1">
      <w:start w:val="1"/>
      <w:numFmt w:val="lowerLetter"/>
      <w:lvlText w:val="%2."/>
      <w:lvlJc w:val="left"/>
      <w:rPr>
        <w:position w:val="0"/>
        <w:vertAlign w:val="baseline"/>
      </w:rPr>
    </w:lvl>
    <w:lvl w:ilvl="2">
      <w:start w:val="1"/>
      <w:numFmt w:val="lowerRoman"/>
      <w:lvlText w:val="%1.%2.%3."/>
      <w:lvlJc w:val="right"/>
      <w:rPr>
        <w:position w:val="0"/>
        <w:vertAlign w:val="baseline"/>
      </w:rPr>
    </w:lvl>
    <w:lvl w:ilvl="3">
      <w:start w:val="1"/>
      <w:numFmt w:val="decimal"/>
      <w:lvlText w:val="%1.%2.%3.%4."/>
      <w:lvlJc w:val="left"/>
      <w:rPr>
        <w:position w:val="0"/>
        <w:vertAlign w:val="baseline"/>
      </w:rPr>
    </w:lvl>
    <w:lvl w:ilvl="4">
      <w:start w:val="1"/>
      <w:numFmt w:val="lowerLetter"/>
      <w:lvlText w:val="%1.%2.%3.%4.%5."/>
      <w:lvlJc w:val="left"/>
      <w:rPr>
        <w:position w:val="0"/>
        <w:vertAlign w:val="baseline"/>
      </w:rPr>
    </w:lvl>
    <w:lvl w:ilvl="5">
      <w:start w:val="1"/>
      <w:numFmt w:val="lowerRoman"/>
      <w:lvlText w:val="%1.%2.%3.%4.%5.%6."/>
      <w:lvlJc w:val="right"/>
      <w:rPr>
        <w:position w:val="0"/>
        <w:vertAlign w:val="baseline"/>
      </w:rPr>
    </w:lvl>
    <w:lvl w:ilvl="6">
      <w:start w:val="1"/>
      <w:numFmt w:val="decimal"/>
      <w:lvlText w:val="%1.%2.%3.%4.%5.%6.%7."/>
      <w:lvlJc w:val="left"/>
      <w:rPr>
        <w:position w:val="0"/>
        <w:vertAlign w:val="baseline"/>
      </w:rPr>
    </w:lvl>
    <w:lvl w:ilvl="7">
      <w:start w:val="1"/>
      <w:numFmt w:val="lowerLetter"/>
      <w:lvlText w:val="%1.%2.%3.%4.%5.%6.%7.%8."/>
      <w:lvlJc w:val="left"/>
      <w:rPr>
        <w:position w:val="0"/>
        <w:vertAlign w:val="baseline"/>
      </w:rPr>
    </w:lvl>
    <w:lvl w:ilvl="8">
      <w:start w:val="1"/>
      <w:numFmt w:val="lowerRoman"/>
      <w:lvlText w:val="%1.%2.%3.%4.%5.%6.%7.%8.%9."/>
      <w:lvlJc w:val="right"/>
      <w:rPr>
        <w:position w:val="0"/>
        <w:vertAlign w:val="baseline"/>
      </w:rPr>
    </w:lvl>
  </w:abstractNum>
  <w:abstractNum w:abstractNumId="5">
    <w:nsid w:val="4A555C18"/>
    <w:multiLevelType w:val="multilevel"/>
    <w:tmpl w:val="BD1C6FDC"/>
    <w:styleLink w:val="WWNum7"/>
    <w:lvl w:ilvl="0">
      <w:start w:val="1"/>
      <w:numFmt w:val="lowerLetter"/>
      <w:lvlText w:val="%1."/>
      <w:lvlJc w:val="left"/>
      <w:rPr>
        <w:u w:val="none"/>
      </w:rPr>
    </w:lvl>
    <w:lvl w:ilvl="1">
      <w:start w:val="1"/>
      <w:numFmt w:val="lowerRoman"/>
      <w:lvlText w:val="%2."/>
      <w:lvlJc w:val="right"/>
      <w:rPr>
        <w:u w:val="none"/>
      </w:rPr>
    </w:lvl>
    <w:lvl w:ilvl="2">
      <w:start w:val="1"/>
      <w:numFmt w:val="decimal"/>
      <w:lvlText w:val="%1.%2.%3."/>
      <w:lvlJc w:val="left"/>
      <w:rPr>
        <w:u w:val="none"/>
      </w:rPr>
    </w:lvl>
    <w:lvl w:ilvl="3">
      <w:start w:val="1"/>
      <w:numFmt w:val="lowerLetter"/>
      <w:lvlText w:val="%1.%2.%3.%4."/>
      <w:lvlJc w:val="left"/>
      <w:rPr>
        <w:u w:val="none"/>
      </w:rPr>
    </w:lvl>
    <w:lvl w:ilvl="4">
      <w:start w:val="1"/>
      <w:numFmt w:val="lowerRoman"/>
      <w:lvlText w:val="%1.%2.%3.%4.%5."/>
      <w:lvlJc w:val="right"/>
      <w:rPr>
        <w:u w:val="none"/>
      </w:rPr>
    </w:lvl>
    <w:lvl w:ilvl="5">
      <w:start w:val="1"/>
      <w:numFmt w:val="decimal"/>
      <w:lvlText w:val="%1.%2.%3.%4.%5.%6."/>
      <w:lvlJc w:val="left"/>
      <w:rPr>
        <w:u w:val="none"/>
      </w:rPr>
    </w:lvl>
    <w:lvl w:ilvl="6">
      <w:start w:val="1"/>
      <w:numFmt w:val="lowerLetter"/>
      <w:lvlText w:val="%1.%2.%3.%4.%5.%6.%7."/>
      <w:lvlJc w:val="left"/>
      <w:rPr>
        <w:u w:val="none"/>
      </w:rPr>
    </w:lvl>
    <w:lvl w:ilvl="7">
      <w:start w:val="1"/>
      <w:numFmt w:val="lowerRoman"/>
      <w:lvlText w:val="%1.%2.%3.%4.%5.%6.%7.%8."/>
      <w:lvlJc w:val="right"/>
      <w:rPr>
        <w:u w:val="none"/>
      </w:rPr>
    </w:lvl>
    <w:lvl w:ilvl="8">
      <w:start w:val="1"/>
      <w:numFmt w:val="decimal"/>
      <w:lvlText w:val="%1.%2.%3.%4.%5.%6.%7.%8.%9."/>
      <w:lvlJc w:val="left"/>
      <w:rPr>
        <w:u w:val="none"/>
      </w:rPr>
    </w:lvl>
  </w:abstractNum>
  <w:abstractNum w:abstractNumId="6">
    <w:nsid w:val="77EE3F3C"/>
    <w:multiLevelType w:val="multilevel"/>
    <w:tmpl w:val="4D46C9C6"/>
    <w:styleLink w:val="WWNum4"/>
    <w:lvl w:ilvl="0">
      <w:numFmt w:val="bullet"/>
      <w:lvlText w:val="-"/>
      <w:lvlJc w:val="left"/>
      <w:rPr>
        <w:u w:val="none"/>
      </w:rPr>
    </w:lvl>
    <w:lvl w:ilvl="1">
      <w:numFmt w:val="bullet"/>
      <w:lvlText w:val="-"/>
      <w:lvlJc w:val="left"/>
      <w:rPr>
        <w:u w:val="none"/>
      </w:rPr>
    </w:lvl>
    <w:lvl w:ilvl="2">
      <w:numFmt w:val="bullet"/>
      <w:lvlText w:val="-"/>
      <w:lvlJc w:val="left"/>
      <w:rPr>
        <w:u w:val="none"/>
      </w:rPr>
    </w:lvl>
    <w:lvl w:ilvl="3">
      <w:numFmt w:val="bullet"/>
      <w:lvlText w:val="-"/>
      <w:lvlJc w:val="left"/>
      <w:rPr>
        <w:u w:val="none"/>
      </w:rPr>
    </w:lvl>
    <w:lvl w:ilvl="4">
      <w:numFmt w:val="bullet"/>
      <w:lvlText w:val="-"/>
      <w:lvlJc w:val="left"/>
      <w:rPr>
        <w:u w:val="none"/>
      </w:rPr>
    </w:lvl>
    <w:lvl w:ilvl="5">
      <w:numFmt w:val="bullet"/>
      <w:lvlText w:val="-"/>
      <w:lvlJc w:val="left"/>
      <w:rPr>
        <w:u w:val="none"/>
      </w:rPr>
    </w:lvl>
    <w:lvl w:ilvl="6">
      <w:numFmt w:val="bullet"/>
      <w:lvlText w:val="-"/>
      <w:lvlJc w:val="left"/>
      <w:rPr>
        <w:u w:val="none"/>
      </w:rPr>
    </w:lvl>
    <w:lvl w:ilvl="7">
      <w:numFmt w:val="bullet"/>
      <w:lvlText w:val="-"/>
      <w:lvlJc w:val="left"/>
      <w:rPr>
        <w:u w:val="none"/>
      </w:rPr>
    </w:lvl>
    <w:lvl w:ilvl="8">
      <w:numFmt w:val="bullet"/>
      <w:lvlText w:val="-"/>
      <w:lvlJc w:val="left"/>
      <w:rPr>
        <w:u w:val="none"/>
      </w:rPr>
    </w:lvl>
  </w:abstractNum>
  <w:num w:numId="1">
    <w:abstractNumId w:val="2"/>
  </w:num>
  <w:num w:numId="2">
    <w:abstractNumId w:val="4"/>
  </w:num>
  <w:num w:numId="3">
    <w:abstractNumId w:val="3"/>
  </w:num>
  <w:num w:numId="4">
    <w:abstractNumId w:val="6"/>
  </w:num>
  <w:num w:numId="5">
    <w:abstractNumId w:val="1"/>
  </w:num>
  <w:num w:numId="6">
    <w:abstractNumId w:val="0"/>
  </w:num>
  <w:num w:numId="7">
    <w:abstractNumId w:val="5"/>
  </w:num>
  <w:num w:numId="8">
    <w:abstractNumId w:val="6"/>
    <w:lvlOverride w:ilvl="0"/>
  </w:num>
  <w:num w:numId="9">
    <w:abstractNumId w:val="4"/>
    <w:lvlOverride w:ilvl="0">
      <w:startOverride w:val="1"/>
    </w:lvlOverride>
  </w:num>
  <w:num w:numId="10">
    <w:abstractNumId w:val="1"/>
    <w:lvlOverride w:ilvl="0">
      <w:startOverride w:val="1"/>
    </w:lvlOverride>
  </w:num>
  <w:num w:numId="11">
    <w:abstractNumId w:val="2"/>
    <w:lvlOverride w:ilvl="0">
      <w:startOverride w:val="1"/>
    </w:lvlOverride>
  </w:num>
  <w:num w:numId="12">
    <w:abstractNumId w:val="0"/>
    <w:lvlOverride w:ilvl="0">
      <w:startOverride w:val="1"/>
    </w:lvlOverride>
  </w:num>
  <w:num w:numId="13">
    <w:abstractNumId w:val="3"/>
    <w:lvlOverride w:ilvl="0">
      <w:startOverride w:val="1"/>
    </w:lvlOverride>
  </w:num>
  <w:num w:numId="14">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5B5CE3"/>
    <w:rsid w:val="00367B34"/>
    <w:rsid w:val="005B5CE3"/>
    <w:rsid w:val="006424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kern w:val="3"/>
        <w:sz w:val="24"/>
        <w:szCs w:val="24"/>
        <w:lang w:val="es-UY" w:eastAsia="zh-CN" w:bidi="hi-IN"/>
      </w:rPr>
    </w:rPrDefault>
    <w:pPrDefault>
      <w:pPr>
        <w:suppressAutoHyphens/>
        <w:autoSpaceDN w:val="0"/>
        <w:spacing w:line="276" w:lineRule="auto"/>
        <w:jc w:val="both"/>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auto"/>
    </w:rPr>
  </w:style>
  <w:style w:type="paragraph" w:styleId="Ttulo1">
    <w:name w:val="heading 1"/>
    <w:basedOn w:val="Normal"/>
    <w:next w:val="Textbody"/>
    <w:pPr>
      <w:keepNext/>
      <w:keepLines/>
      <w:spacing w:before="400" w:after="120"/>
      <w:outlineLvl w:val="0"/>
    </w:pPr>
    <w:rPr>
      <w:color w:val="000000"/>
      <w:sz w:val="40"/>
      <w:szCs w:val="40"/>
    </w:rPr>
  </w:style>
  <w:style w:type="paragraph" w:styleId="Ttulo2">
    <w:name w:val="heading 2"/>
    <w:basedOn w:val="Normal"/>
    <w:next w:val="Textbody"/>
    <w:pPr>
      <w:keepNext/>
      <w:keepLines/>
      <w:spacing w:before="360" w:after="120"/>
      <w:outlineLvl w:val="1"/>
    </w:pPr>
    <w:rPr>
      <w:color w:val="000000"/>
      <w:sz w:val="32"/>
      <w:szCs w:val="32"/>
    </w:rPr>
  </w:style>
  <w:style w:type="paragraph" w:styleId="Ttulo3">
    <w:name w:val="heading 3"/>
    <w:basedOn w:val="Normal"/>
    <w:next w:val="Textbody"/>
    <w:pPr>
      <w:keepNext/>
      <w:keepLines/>
      <w:spacing w:before="320" w:after="80"/>
      <w:outlineLvl w:val="2"/>
    </w:pPr>
    <w:rPr>
      <w:color w:val="434343"/>
      <w:sz w:val="28"/>
      <w:szCs w:val="28"/>
    </w:rPr>
  </w:style>
  <w:style w:type="paragraph" w:styleId="Ttulo4">
    <w:name w:val="heading 4"/>
    <w:basedOn w:val="Normal"/>
    <w:next w:val="Textbody"/>
    <w:pPr>
      <w:keepNext/>
      <w:keepLines/>
      <w:spacing w:before="280" w:after="80"/>
      <w:outlineLvl w:val="3"/>
    </w:pPr>
    <w:rPr>
      <w:color w:val="666666"/>
    </w:rPr>
  </w:style>
  <w:style w:type="paragraph" w:styleId="Ttulo5">
    <w:name w:val="heading 5"/>
    <w:basedOn w:val="Normal"/>
    <w:next w:val="Textbody"/>
    <w:pPr>
      <w:keepNext/>
      <w:keepLines/>
      <w:spacing w:before="240" w:after="80"/>
      <w:outlineLvl w:val="4"/>
    </w:pPr>
    <w:rPr>
      <w:color w:val="666666"/>
      <w:sz w:val="22"/>
      <w:szCs w:val="22"/>
    </w:rPr>
  </w:style>
  <w:style w:type="paragraph" w:styleId="Ttulo6">
    <w:name w:val="heading 6"/>
    <w:basedOn w:val="Normal"/>
    <w:next w:val="Textbody"/>
    <w:pPr>
      <w:keepNext/>
      <w:keepLines/>
      <w:spacing w:before="240" w:after="80"/>
      <w:outlineLvl w:val="5"/>
    </w:pPr>
    <w:rPr>
      <w:i/>
      <w:color w:val="666666"/>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a">
    <w:name w:val="List"/>
    <w:basedOn w:val="Textbody"/>
    <w:rPr>
      <w:rFonts w:cs="Mangal"/>
    </w:rPr>
  </w:style>
  <w:style w:type="paragraph" w:styleId="Epgrafe">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Ttulo">
    <w:name w:val="Title"/>
    <w:basedOn w:val="Normal"/>
    <w:next w:val="Subttulo"/>
    <w:pPr>
      <w:keepNext/>
      <w:keepLines/>
      <w:spacing w:after="60"/>
    </w:pPr>
    <w:rPr>
      <w:bCs/>
      <w:color w:val="000000"/>
      <w:sz w:val="52"/>
      <w:szCs w:val="52"/>
    </w:rPr>
  </w:style>
  <w:style w:type="paragraph" w:styleId="Subttulo">
    <w:name w:val="Subtitle"/>
    <w:basedOn w:val="Normal"/>
    <w:next w:val="Textbody"/>
    <w:pPr>
      <w:keepNext/>
      <w:keepLines/>
      <w:spacing w:after="320"/>
    </w:pPr>
    <w:rPr>
      <w:rFonts w:ascii="Arial" w:eastAsia="Arial" w:hAnsi="Arial" w:cs="Arial"/>
      <w:i/>
      <w:iCs/>
      <w:color w:val="666666"/>
      <w:sz w:val="30"/>
      <w:szCs w:val="30"/>
    </w:rPr>
  </w:style>
  <w:style w:type="paragraph" w:customStyle="1" w:styleId="Footnote">
    <w:name w:val="Footnote"/>
    <w:basedOn w:val="Standard"/>
    <w:pPr>
      <w:suppressLineNumbers/>
      <w:ind w:left="283" w:hanging="283"/>
    </w:pPr>
    <w:rPr>
      <w:sz w:val="20"/>
      <w:szCs w:val="20"/>
    </w:rPr>
  </w:style>
  <w:style w:type="paragraph" w:styleId="Encabezado">
    <w:name w:val="header"/>
    <w:basedOn w:val="Standard"/>
    <w:pPr>
      <w:suppressLineNumbers/>
      <w:tabs>
        <w:tab w:val="center" w:pos="4819"/>
        <w:tab w:val="right" w:pos="9638"/>
      </w:tabs>
    </w:pPr>
  </w:style>
  <w:style w:type="paragraph" w:styleId="Piedepgina">
    <w:name w:val="footer"/>
    <w:basedOn w:val="Standard"/>
    <w:pPr>
      <w:suppressLineNumbers/>
      <w:tabs>
        <w:tab w:val="center" w:pos="4819"/>
        <w:tab w:val="right" w:pos="9638"/>
      </w:tabs>
    </w:pPr>
  </w:style>
  <w:style w:type="character" w:customStyle="1" w:styleId="ListLabel1">
    <w:name w:val="ListLabel 1"/>
    <w:rPr>
      <w:color w:val="000000"/>
      <w:u w:val="none"/>
    </w:rPr>
  </w:style>
  <w:style w:type="character" w:customStyle="1" w:styleId="ListLabel2">
    <w:name w:val="ListLabel 2"/>
    <w:rPr>
      <w:u w:val="none"/>
    </w:rPr>
  </w:style>
  <w:style w:type="character" w:customStyle="1" w:styleId="ListLabel3">
    <w:name w:val="ListLabel 3"/>
    <w:rPr>
      <w:b/>
      <w:position w:val="0"/>
      <w:vertAlign w:val="baseline"/>
    </w:rPr>
  </w:style>
  <w:style w:type="character" w:customStyle="1" w:styleId="ListLabel4">
    <w:name w:val="ListLabel 4"/>
    <w:rPr>
      <w:position w:val="0"/>
      <w:vertAlign w:val="baseline"/>
    </w:rPr>
  </w:style>
  <w:style w:type="character" w:customStyle="1" w:styleId="ListLabel5">
    <w:name w:val="ListLabel 5"/>
    <w:rPr>
      <w:b/>
      <w:u w:val="none"/>
    </w:rPr>
  </w:style>
  <w:style w:type="character" w:customStyle="1" w:styleId="Internetlink">
    <w:name w:val="Internet link"/>
    <w:rPr>
      <w:color w:val="000080"/>
      <w:u w:val="single"/>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Num1">
    <w:name w:val="WWNum1"/>
    <w:basedOn w:val="Sinlista"/>
    <w:pPr>
      <w:numPr>
        <w:numId w:val="1"/>
      </w:numPr>
    </w:pPr>
  </w:style>
  <w:style w:type="numbering" w:customStyle="1" w:styleId="WWNum2">
    <w:name w:val="WWNum2"/>
    <w:basedOn w:val="Sinlista"/>
    <w:pPr>
      <w:numPr>
        <w:numId w:val="2"/>
      </w:numPr>
    </w:pPr>
  </w:style>
  <w:style w:type="numbering" w:customStyle="1" w:styleId="WWNum3">
    <w:name w:val="WWNum3"/>
    <w:basedOn w:val="Sinlista"/>
    <w:pPr>
      <w:numPr>
        <w:numId w:val="3"/>
      </w:numPr>
    </w:pPr>
  </w:style>
  <w:style w:type="numbering" w:customStyle="1" w:styleId="WWNum4">
    <w:name w:val="WWNum4"/>
    <w:basedOn w:val="Sinlista"/>
    <w:pPr>
      <w:numPr>
        <w:numId w:val="4"/>
      </w:numPr>
    </w:pPr>
  </w:style>
  <w:style w:type="numbering" w:customStyle="1" w:styleId="WWNum5">
    <w:name w:val="WWNum5"/>
    <w:basedOn w:val="Sinlista"/>
    <w:pPr>
      <w:numPr>
        <w:numId w:val="5"/>
      </w:numPr>
    </w:pPr>
  </w:style>
  <w:style w:type="numbering" w:customStyle="1" w:styleId="WWNum6">
    <w:name w:val="WWNum6"/>
    <w:basedOn w:val="Sinlista"/>
    <w:pPr>
      <w:numPr>
        <w:numId w:val="6"/>
      </w:numPr>
    </w:pPr>
  </w:style>
  <w:style w:type="numbering" w:customStyle="1" w:styleId="WWNum7">
    <w:name w:val="WWNum7"/>
    <w:basedOn w:val="Sinlista"/>
    <w:pPr>
      <w:numPr>
        <w:numId w:val="7"/>
      </w:numPr>
    </w:pPr>
  </w:style>
  <w:style w:type="character" w:styleId="Refdenotaalpie">
    <w:name w:val="footnote reference"/>
    <w:basedOn w:val="Fuentedeprrafopredeter"/>
    <w:uiPriority w:val="99"/>
    <w:semiHidden/>
    <w:unhideWhenUse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kern w:val="3"/>
        <w:sz w:val="24"/>
        <w:szCs w:val="24"/>
        <w:lang w:val="es-UY" w:eastAsia="zh-CN" w:bidi="hi-IN"/>
      </w:rPr>
    </w:rPrDefault>
    <w:pPrDefault>
      <w:pPr>
        <w:suppressAutoHyphens/>
        <w:autoSpaceDN w:val="0"/>
        <w:spacing w:line="276" w:lineRule="auto"/>
        <w:jc w:val="both"/>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auto"/>
    </w:rPr>
  </w:style>
  <w:style w:type="paragraph" w:styleId="Ttulo1">
    <w:name w:val="heading 1"/>
    <w:basedOn w:val="Normal"/>
    <w:next w:val="Textbody"/>
    <w:pPr>
      <w:keepNext/>
      <w:keepLines/>
      <w:spacing w:before="400" w:after="120"/>
      <w:outlineLvl w:val="0"/>
    </w:pPr>
    <w:rPr>
      <w:color w:val="000000"/>
      <w:sz w:val="40"/>
      <w:szCs w:val="40"/>
    </w:rPr>
  </w:style>
  <w:style w:type="paragraph" w:styleId="Ttulo2">
    <w:name w:val="heading 2"/>
    <w:basedOn w:val="Normal"/>
    <w:next w:val="Textbody"/>
    <w:pPr>
      <w:keepNext/>
      <w:keepLines/>
      <w:spacing w:before="360" w:after="120"/>
      <w:outlineLvl w:val="1"/>
    </w:pPr>
    <w:rPr>
      <w:color w:val="000000"/>
      <w:sz w:val="32"/>
      <w:szCs w:val="32"/>
    </w:rPr>
  </w:style>
  <w:style w:type="paragraph" w:styleId="Ttulo3">
    <w:name w:val="heading 3"/>
    <w:basedOn w:val="Normal"/>
    <w:next w:val="Textbody"/>
    <w:pPr>
      <w:keepNext/>
      <w:keepLines/>
      <w:spacing w:before="320" w:after="80"/>
      <w:outlineLvl w:val="2"/>
    </w:pPr>
    <w:rPr>
      <w:color w:val="434343"/>
      <w:sz w:val="28"/>
      <w:szCs w:val="28"/>
    </w:rPr>
  </w:style>
  <w:style w:type="paragraph" w:styleId="Ttulo4">
    <w:name w:val="heading 4"/>
    <w:basedOn w:val="Normal"/>
    <w:next w:val="Textbody"/>
    <w:pPr>
      <w:keepNext/>
      <w:keepLines/>
      <w:spacing w:before="280" w:after="80"/>
      <w:outlineLvl w:val="3"/>
    </w:pPr>
    <w:rPr>
      <w:color w:val="666666"/>
    </w:rPr>
  </w:style>
  <w:style w:type="paragraph" w:styleId="Ttulo5">
    <w:name w:val="heading 5"/>
    <w:basedOn w:val="Normal"/>
    <w:next w:val="Textbody"/>
    <w:pPr>
      <w:keepNext/>
      <w:keepLines/>
      <w:spacing w:before="240" w:after="80"/>
      <w:outlineLvl w:val="4"/>
    </w:pPr>
    <w:rPr>
      <w:color w:val="666666"/>
      <w:sz w:val="22"/>
      <w:szCs w:val="22"/>
    </w:rPr>
  </w:style>
  <w:style w:type="paragraph" w:styleId="Ttulo6">
    <w:name w:val="heading 6"/>
    <w:basedOn w:val="Normal"/>
    <w:next w:val="Textbody"/>
    <w:pPr>
      <w:keepNext/>
      <w:keepLines/>
      <w:spacing w:before="240" w:after="80"/>
      <w:outlineLvl w:val="5"/>
    </w:pPr>
    <w:rPr>
      <w:i/>
      <w:color w:val="666666"/>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a">
    <w:name w:val="List"/>
    <w:basedOn w:val="Textbody"/>
    <w:rPr>
      <w:rFonts w:cs="Mangal"/>
    </w:rPr>
  </w:style>
  <w:style w:type="paragraph" w:styleId="Epgrafe">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Ttulo">
    <w:name w:val="Title"/>
    <w:basedOn w:val="Normal"/>
    <w:next w:val="Subttulo"/>
    <w:pPr>
      <w:keepNext/>
      <w:keepLines/>
      <w:spacing w:after="60"/>
    </w:pPr>
    <w:rPr>
      <w:bCs/>
      <w:color w:val="000000"/>
      <w:sz w:val="52"/>
      <w:szCs w:val="52"/>
    </w:rPr>
  </w:style>
  <w:style w:type="paragraph" w:styleId="Subttulo">
    <w:name w:val="Subtitle"/>
    <w:basedOn w:val="Normal"/>
    <w:next w:val="Textbody"/>
    <w:pPr>
      <w:keepNext/>
      <w:keepLines/>
      <w:spacing w:after="320"/>
    </w:pPr>
    <w:rPr>
      <w:rFonts w:ascii="Arial" w:eastAsia="Arial" w:hAnsi="Arial" w:cs="Arial"/>
      <w:i/>
      <w:iCs/>
      <w:color w:val="666666"/>
      <w:sz w:val="30"/>
      <w:szCs w:val="30"/>
    </w:rPr>
  </w:style>
  <w:style w:type="paragraph" w:customStyle="1" w:styleId="Footnote">
    <w:name w:val="Footnote"/>
    <w:basedOn w:val="Standard"/>
    <w:pPr>
      <w:suppressLineNumbers/>
      <w:ind w:left="283" w:hanging="283"/>
    </w:pPr>
    <w:rPr>
      <w:sz w:val="20"/>
      <w:szCs w:val="20"/>
    </w:rPr>
  </w:style>
  <w:style w:type="paragraph" w:styleId="Encabezado">
    <w:name w:val="header"/>
    <w:basedOn w:val="Standard"/>
    <w:pPr>
      <w:suppressLineNumbers/>
      <w:tabs>
        <w:tab w:val="center" w:pos="4819"/>
        <w:tab w:val="right" w:pos="9638"/>
      </w:tabs>
    </w:pPr>
  </w:style>
  <w:style w:type="paragraph" w:styleId="Piedepgina">
    <w:name w:val="footer"/>
    <w:basedOn w:val="Standard"/>
    <w:pPr>
      <w:suppressLineNumbers/>
      <w:tabs>
        <w:tab w:val="center" w:pos="4819"/>
        <w:tab w:val="right" w:pos="9638"/>
      </w:tabs>
    </w:pPr>
  </w:style>
  <w:style w:type="character" w:customStyle="1" w:styleId="ListLabel1">
    <w:name w:val="ListLabel 1"/>
    <w:rPr>
      <w:color w:val="000000"/>
      <w:u w:val="none"/>
    </w:rPr>
  </w:style>
  <w:style w:type="character" w:customStyle="1" w:styleId="ListLabel2">
    <w:name w:val="ListLabel 2"/>
    <w:rPr>
      <w:u w:val="none"/>
    </w:rPr>
  </w:style>
  <w:style w:type="character" w:customStyle="1" w:styleId="ListLabel3">
    <w:name w:val="ListLabel 3"/>
    <w:rPr>
      <w:b/>
      <w:position w:val="0"/>
      <w:vertAlign w:val="baseline"/>
    </w:rPr>
  </w:style>
  <w:style w:type="character" w:customStyle="1" w:styleId="ListLabel4">
    <w:name w:val="ListLabel 4"/>
    <w:rPr>
      <w:position w:val="0"/>
      <w:vertAlign w:val="baseline"/>
    </w:rPr>
  </w:style>
  <w:style w:type="character" w:customStyle="1" w:styleId="ListLabel5">
    <w:name w:val="ListLabel 5"/>
    <w:rPr>
      <w:b/>
      <w:u w:val="none"/>
    </w:rPr>
  </w:style>
  <w:style w:type="character" w:customStyle="1" w:styleId="Internetlink">
    <w:name w:val="Internet link"/>
    <w:rPr>
      <w:color w:val="000080"/>
      <w:u w:val="single"/>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Num1">
    <w:name w:val="WWNum1"/>
    <w:basedOn w:val="Sinlista"/>
    <w:pPr>
      <w:numPr>
        <w:numId w:val="1"/>
      </w:numPr>
    </w:pPr>
  </w:style>
  <w:style w:type="numbering" w:customStyle="1" w:styleId="WWNum2">
    <w:name w:val="WWNum2"/>
    <w:basedOn w:val="Sinlista"/>
    <w:pPr>
      <w:numPr>
        <w:numId w:val="2"/>
      </w:numPr>
    </w:pPr>
  </w:style>
  <w:style w:type="numbering" w:customStyle="1" w:styleId="WWNum3">
    <w:name w:val="WWNum3"/>
    <w:basedOn w:val="Sinlista"/>
    <w:pPr>
      <w:numPr>
        <w:numId w:val="3"/>
      </w:numPr>
    </w:pPr>
  </w:style>
  <w:style w:type="numbering" w:customStyle="1" w:styleId="WWNum4">
    <w:name w:val="WWNum4"/>
    <w:basedOn w:val="Sinlista"/>
    <w:pPr>
      <w:numPr>
        <w:numId w:val="4"/>
      </w:numPr>
    </w:pPr>
  </w:style>
  <w:style w:type="numbering" w:customStyle="1" w:styleId="WWNum5">
    <w:name w:val="WWNum5"/>
    <w:basedOn w:val="Sinlista"/>
    <w:pPr>
      <w:numPr>
        <w:numId w:val="5"/>
      </w:numPr>
    </w:pPr>
  </w:style>
  <w:style w:type="numbering" w:customStyle="1" w:styleId="WWNum6">
    <w:name w:val="WWNum6"/>
    <w:basedOn w:val="Sinlista"/>
    <w:pPr>
      <w:numPr>
        <w:numId w:val="6"/>
      </w:numPr>
    </w:pPr>
  </w:style>
  <w:style w:type="numbering" w:customStyle="1" w:styleId="WWNum7">
    <w:name w:val="WWNum7"/>
    <w:basedOn w:val="Sinlista"/>
    <w:pPr>
      <w:numPr>
        <w:numId w:val="7"/>
      </w:numPr>
    </w:pPr>
  </w:style>
  <w:style w:type="character" w:styleId="Refdenotaalpie">
    <w:name w:val="footnote reference"/>
    <w:basedOn w:val="Fuentedeprrafopredeter"/>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cielo.edu.uy/scielo.php?pid=S1688-12492008000400002&amp;script=sci_arttext"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cielo.edu.uy/scielo.php?pid=S1688-12492008000400002&amp;script=sci_arttext" TargetMode="External"/><Relationship Id="rId17" Type="http://schemas.openxmlformats.org/officeDocument/2006/relationships/hyperlink" Target="http://observatoriosocial.mides.gub.uy/portalMides/index.php" TargetMode="External"/><Relationship Id="rId2" Type="http://schemas.openxmlformats.org/officeDocument/2006/relationships/styles" Target="styles.xml"/><Relationship Id="rId16" Type="http://schemas.openxmlformats.org/officeDocument/2006/relationships/hyperlink" Target="http://observatoriosocial.mides.gub.uy/portalMides/index.ph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scielo.edu.uy/scielo.php?pid=S1688-12492008000400002&amp;script=sci_arttext"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unfpa.org.uy/informacion/index.php?InfoId=101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71</Pages>
  <Words>24322</Words>
  <Characters>133774</Characters>
  <Application>Microsoft Office Word</Application>
  <DocSecurity>0</DocSecurity>
  <Lines>1114</Lines>
  <Paragraphs>315</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157781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eul</cp:lastModifiedBy>
  <cp:revision>1</cp:revision>
  <dcterms:created xsi:type="dcterms:W3CDTF">2016-05-19T05:24:00Z</dcterms:created>
  <dcterms:modified xsi:type="dcterms:W3CDTF">2016-05-19T05:24:00Z</dcterms:modified>
</cp:coreProperties>
</file>