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2F7C" w:rsidRDefault="00902F7C">
      <w:pPr>
        <w:jc w:val="both"/>
      </w:pPr>
    </w:p>
    <w:p w:rsidR="00902F7C" w:rsidRDefault="00902F7C">
      <w:pPr>
        <w:jc w:val="center"/>
        <w:rPr>
          <w:b/>
          <w:smallCaps/>
        </w:rPr>
      </w:pPr>
      <w:r>
        <w:rPr>
          <w:b/>
          <w:smallCaps/>
        </w:rPr>
        <w:t>Nota conceptual</w:t>
      </w:r>
    </w:p>
    <w:p w:rsidR="00C9060E" w:rsidRDefault="00902F7C" w:rsidP="00C9060E">
      <w:r>
        <w:rPr>
          <w:b/>
          <w:smallCaps/>
        </w:rPr>
        <w:t xml:space="preserve">Jornada de consulta al </w:t>
      </w:r>
      <w:r w:rsidR="00C9060E">
        <w:rPr>
          <w:rFonts w:hint="eastAsia"/>
        </w:rPr>
        <w:t>C</w:t>
      </w:r>
      <w:r w:rsidR="00C9060E">
        <w:t>onsejo</w:t>
      </w:r>
      <w:r w:rsidR="00C9060E">
        <w:rPr>
          <w:rFonts w:hint="eastAsia"/>
        </w:rPr>
        <w:t xml:space="preserve"> N</w:t>
      </w:r>
      <w:r w:rsidR="00C9060E">
        <w:t>acional</w:t>
      </w:r>
      <w:r w:rsidR="00C9060E">
        <w:rPr>
          <w:rFonts w:hint="eastAsia"/>
        </w:rPr>
        <w:t xml:space="preserve"> C</w:t>
      </w:r>
      <w:r w:rsidR="00C9060E">
        <w:t xml:space="preserve">onsultivo </w:t>
      </w:r>
      <w:r w:rsidR="00C9060E">
        <w:rPr>
          <w:rFonts w:hint="eastAsia"/>
        </w:rPr>
        <w:t>H</w:t>
      </w:r>
      <w:r w:rsidR="00C9060E">
        <w:t>onorario</w:t>
      </w:r>
      <w:r w:rsidR="00612C3A">
        <w:t xml:space="preserve"> </w:t>
      </w:r>
      <w:r w:rsidR="00C9060E">
        <w:t>de</w:t>
      </w:r>
      <w:r w:rsidR="00612C3A">
        <w:t xml:space="preserve"> </w:t>
      </w:r>
      <w:r w:rsidR="00C9060E">
        <w:t>los</w:t>
      </w:r>
      <w:r w:rsidR="00612C3A">
        <w:t xml:space="preserve"> </w:t>
      </w:r>
      <w:r w:rsidR="00C9060E">
        <w:rPr>
          <w:rFonts w:hint="eastAsia"/>
        </w:rPr>
        <w:t>D</w:t>
      </w:r>
      <w:r w:rsidR="00C9060E">
        <w:t>erechos</w:t>
      </w:r>
      <w:r w:rsidR="00612C3A">
        <w:t xml:space="preserve"> </w:t>
      </w:r>
      <w:r w:rsidR="00C9060E">
        <w:t>del</w:t>
      </w:r>
      <w:r w:rsidR="00C9060E">
        <w:rPr>
          <w:rFonts w:hint="eastAsia"/>
        </w:rPr>
        <w:t xml:space="preserve"> N</w:t>
      </w:r>
      <w:r w:rsidR="00C9060E">
        <w:t>iño</w:t>
      </w:r>
      <w:r w:rsidR="00612C3A">
        <w:t xml:space="preserve"> </w:t>
      </w:r>
      <w:r w:rsidR="00C9060E">
        <w:t>y</w:t>
      </w:r>
      <w:r w:rsidR="00C9060E">
        <w:rPr>
          <w:rFonts w:hint="eastAsia"/>
        </w:rPr>
        <w:t xml:space="preserve"> A</w:t>
      </w:r>
      <w:r w:rsidR="00C9060E">
        <w:t>dolescente</w:t>
      </w:r>
    </w:p>
    <w:p w:rsidR="00902F7C" w:rsidRPr="00824F30" w:rsidRDefault="00B01B61" w:rsidP="00824F30">
      <w:pPr>
        <w:jc w:val="center"/>
      </w:pPr>
      <w:bookmarkStart w:id="0" w:name="_GoBack"/>
      <w:bookmarkEnd w:id="0"/>
      <w:r>
        <w:t xml:space="preserve">Jueves  10 de setiembre a las 14:30 en el INAU </w:t>
      </w:r>
    </w:p>
    <w:p w:rsidR="00902F7C" w:rsidRDefault="00902F7C">
      <w:pPr>
        <w:jc w:val="both"/>
      </w:pPr>
      <w:r>
        <w:rPr>
          <w:b/>
          <w:smallCaps/>
        </w:rPr>
        <w:t xml:space="preserve">Antecedentes y contexto </w:t>
      </w:r>
    </w:p>
    <w:p w:rsidR="00902F7C" w:rsidRDefault="00902F7C">
      <w:pPr>
        <w:jc w:val="both"/>
      </w:pPr>
      <w:r>
        <w:t xml:space="preserve">En mayo de 2015 comienza a sesionar la Comisión de primera infancia, infancia y adolescencia </w:t>
      </w:r>
      <w:r w:rsidR="009045B6">
        <w:t xml:space="preserve">en el marco </w:t>
      </w:r>
      <w:r>
        <w:t>del Consejo Nacional de Políticas Sociales. Su trabajo retoma las estrategias país para el desarrollo social (Plan de Equidad y Reforma Social) así como la Estrategia Nacional de Infancia y Adolescencia</w:t>
      </w:r>
      <w:r w:rsidR="00C9060E">
        <w:t xml:space="preserve"> (ENIA)</w:t>
      </w:r>
      <w:r w:rsidR="00BB3A98">
        <w:t xml:space="preserve"> y los últimos estudios, evaluaciones y demás documentos que sirven de evidencia para identificar las brechas e inequidades aún existentes</w:t>
      </w:r>
      <w:r>
        <w:t xml:space="preserve">. </w:t>
      </w:r>
    </w:p>
    <w:p w:rsidR="00902F7C" w:rsidRDefault="00902F7C">
      <w:pPr>
        <w:jc w:val="both"/>
      </w:pPr>
      <w:r>
        <w:t>La Comisión es de carácter interinstitucional gubernamental, está conformada por: Ministerio de Salud Pública</w:t>
      </w:r>
      <w:r w:rsidR="004A5BF5">
        <w:t xml:space="preserve"> (MSP)</w:t>
      </w:r>
      <w:r>
        <w:t>, Administración de Servicios de Salud del Estado</w:t>
      </w:r>
      <w:r w:rsidR="004A5BF5">
        <w:t xml:space="preserve"> (ASSE)</w:t>
      </w:r>
      <w:r>
        <w:t>, Ministerio de Educación y Cultura</w:t>
      </w:r>
      <w:r w:rsidR="004A5BF5">
        <w:t xml:space="preserve"> (MEC)</w:t>
      </w:r>
      <w:r>
        <w:t>, Administración Nacional de Educación Pública</w:t>
      </w:r>
      <w:r w:rsidR="004A5BF5">
        <w:t xml:space="preserve"> (ANEP)</w:t>
      </w:r>
      <w:r>
        <w:t>, Consejo de Educación Inicial y Primaria</w:t>
      </w:r>
      <w:r w:rsidR="004A5BF5">
        <w:t xml:space="preserve"> (CEIP)</w:t>
      </w:r>
      <w:r>
        <w:t>, Consejo de Educación Técnico Profesional</w:t>
      </w:r>
      <w:r w:rsidR="004A5BF5">
        <w:t xml:space="preserve"> (CETP)</w:t>
      </w:r>
      <w:r>
        <w:t>, Consejo de Educación Secundaria</w:t>
      </w:r>
      <w:r w:rsidR="004A5BF5">
        <w:t xml:space="preserve"> (CES)</w:t>
      </w:r>
      <w:r>
        <w:t>, Ministerio de Trabajo y Seguridad Social</w:t>
      </w:r>
      <w:r w:rsidR="004A5BF5">
        <w:t xml:space="preserve"> (MTSS)</w:t>
      </w:r>
      <w:r>
        <w:t>, Instituto Nacional de la Juventud</w:t>
      </w:r>
      <w:r w:rsidR="00267514">
        <w:t xml:space="preserve"> (INJU)</w:t>
      </w:r>
      <w:r>
        <w:t>, Secretaría Nacional de Deporte</w:t>
      </w:r>
      <w:r w:rsidR="00267514">
        <w:t xml:space="preserve"> (SND)</w:t>
      </w:r>
      <w:r>
        <w:t>, Congreso de Intendentes</w:t>
      </w:r>
      <w:r w:rsidR="009874E8">
        <w:t>, Secretaría Nacional de Cuidados (SND) y la Oficina de Planeamiento y Presupuesto (OPP)</w:t>
      </w:r>
      <w:r w:rsidR="00B01B61">
        <w:t>, Ministerio de Desarrollo Social (MIDES)</w:t>
      </w:r>
      <w:r w:rsidR="009874E8">
        <w:t>. Dicha Comisión</w:t>
      </w:r>
      <w:r w:rsidR="00612C3A">
        <w:t xml:space="preserve"> </w:t>
      </w:r>
      <w:r>
        <w:t>es</w:t>
      </w:r>
      <w:r w:rsidR="00612C3A">
        <w:t xml:space="preserve"> </w:t>
      </w:r>
      <w:r>
        <w:t xml:space="preserve">co-liderada por la Dirección Nacional de Políticas Sociales </w:t>
      </w:r>
      <w:r w:rsidR="00F86041">
        <w:t>(</w:t>
      </w:r>
      <w:r>
        <w:t>DNPS</w:t>
      </w:r>
      <w:r w:rsidR="00F86041">
        <w:t>)</w:t>
      </w:r>
      <w:r>
        <w:t>, la Dirección de Uruguay Crece Contigo</w:t>
      </w:r>
      <w:r w:rsidR="00612C3A">
        <w:t xml:space="preserve"> </w:t>
      </w:r>
      <w:r w:rsidR="00F86041">
        <w:t>(</w:t>
      </w:r>
      <w:r>
        <w:t>UCC</w:t>
      </w:r>
      <w:r w:rsidR="00F86041">
        <w:t>)</w:t>
      </w:r>
      <w:r>
        <w:t xml:space="preserve"> y del Instituto del Niño y Adolescente del Uruguay </w:t>
      </w:r>
      <w:r w:rsidR="00F86041">
        <w:t>(</w:t>
      </w:r>
      <w:r>
        <w:t>INAU</w:t>
      </w:r>
      <w:r w:rsidR="00F86041">
        <w:t>)</w:t>
      </w:r>
      <w:r>
        <w:t xml:space="preserve">.   </w:t>
      </w:r>
    </w:p>
    <w:p w:rsidR="00902F7C" w:rsidRDefault="00902F7C">
      <w:pPr>
        <w:jc w:val="both"/>
      </w:pPr>
      <w:r>
        <w:t xml:space="preserve">Su objetivo es contribuir al diseño de un sistema de protección de primera infancia, infancia y adolescencia, a partir de un espacio de articulación institucional. Para ello se ha propuesto dos objetivos específicos: a) diseñar en forma interinstitucional, un </w:t>
      </w:r>
      <w:r>
        <w:rPr>
          <w:bCs/>
        </w:rPr>
        <w:t xml:space="preserve">plan de </w:t>
      </w:r>
      <w:r w:rsidR="000D4F5E">
        <w:rPr>
          <w:bCs/>
        </w:rPr>
        <w:t xml:space="preserve">acción </w:t>
      </w:r>
      <w:r>
        <w:rPr>
          <w:bCs/>
        </w:rPr>
        <w:t>para el período 2015 – 2020</w:t>
      </w:r>
      <w:r>
        <w:t xml:space="preserve">, que apunte a dar respuesta en forma sistémica, a las principales brechas y problemas que aún persisten en estos ciclos de vida; b) fortalecer el trabajo interinstitucional que permita avanzar hacia un Sistema de Protección Integral la primera infancia, infancia y adolescencia. </w:t>
      </w:r>
    </w:p>
    <w:p w:rsidR="00902F7C" w:rsidRPr="00612C3A" w:rsidRDefault="00902F7C" w:rsidP="00612C3A">
      <w:pPr>
        <w:pStyle w:val="Textocomentario"/>
        <w:jc w:val="both"/>
        <w:rPr>
          <w:sz w:val="22"/>
          <w:szCs w:val="22"/>
        </w:rPr>
      </w:pPr>
      <w:r w:rsidRPr="00612C3A">
        <w:rPr>
          <w:sz w:val="22"/>
          <w:szCs w:val="22"/>
        </w:rPr>
        <w:t>Con el fin de ordenar el trabajo de diseño del Plan, la Comisión ha trabajado por ciclo de vida en la identificación de los problemas sociales y los problemas de la oferta, para luego definir las respuestas y responsabilidades institucionales e interinstitucionales.</w:t>
      </w:r>
      <w:r w:rsidR="00612C3A" w:rsidRPr="00612C3A">
        <w:rPr>
          <w:sz w:val="22"/>
          <w:szCs w:val="22"/>
        </w:rPr>
        <w:t xml:space="preserve"> Para ello, además de las reuniones plenarias de la Comisión, se han identificado como necesarias reuniones bilaterales para abordar problemas que requieren de una respuesta de más de una institución. </w:t>
      </w:r>
      <w:r w:rsidRPr="00612C3A">
        <w:rPr>
          <w:sz w:val="22"/>
          <w:szCs w:val="22"/>
        </w:rPr>
        <w:t>Así también, ha sido una preocupación de la Comisión, a pesar de trabajar por ciclo de vida, asegurar la continuidad de las trayectorias, haciendo énfasis en los tránsitos entre los ciclos de vida y velando por respuestas que den cuenta de la integralidad de cada ciclo de vida. En esta línea, el Plan contemplará, también, la dimensión territorial, familiar y comunitaria así como los enfoques transversales.</w:t>
      </w:r>
    </w:p>
    <w:p w:rsidR="00902F7C" w:rsidRDefault="00902F7C">
      <w:r>
        <w:t>Para cada uno de los ciclos de vida se definieron cinco lineamientos estratégicos:</w:t>
      </w:r>
    </w:p>
    <w:p w:rsidR="00902F7C" w:rsidRDefault="00902F7C">
      <w:pPr>
        <w:jc w:val="both"/>
      </w:pPr>
      <w:r>
        <w:lastRenderedPageBreak/>
        <w:t xml:space="preserve">1. Asegurar el desarrollo integral mediante la promoción, prevención, tratamiento, rehabilitación en salud. </w:t>
      </w:r>
    </w:p>
    <w:p w:rsidR="00902F7C" w:rsidRDefault="00902F7C">
      <w:pPr>
        <w:jc w:val="both"/>
      </w:pPr>
      <w:r>
        <w:t xml:space="preserve">2. Garantizar trayectorias educativas continuas para el desarrollo e inclusión social. </w:t>
      </w:r>
    </w:p>
    <w:p w:rsidR="00902F7C" w:rsidRDefault="00902F7C">
      <w:pPr>
        <w:jc w:val="both"/>
      </w:pPr>
      <w:r>
        <w:t xml:space="preserve">3. Prevención, detección, atención a las diferentes tipos de violencia. </w:t>
      </w:r>
    </w:p>
    <w:p w:rsidR="00902F7C" w:rsidRDefault="00902F7C">
      <w:pPr>
        <w:jc w:val="both"/>
      </w:pPr>
      <w:r>
        <w:t xml:space="preserve">4. Disminuir situaciones de especial vulnerabilidad, calle, trabajo infantil, conflicto con la ley penal, institucionalización por falta de protección familiar. </w:t>
      </w:r>
    </w:p>
    <w:p w:rsidR="00902F7C" w:rsidRDefault="00902F7C">
      <w:pPr>
        <w:jc w:val="both"/>
        <w:rPr>
          <w:b/>
          <w:smallCaps/>
        </w:rPr>
      </w:pPr>
      <w:r>
        <w:t xml:space="preserve">5. Promover la participación y el ejercicio del derecho a la ciudad y el acceso y uso de bienes culturales.      </w:t>
      </w:r>
    </w:p>
    <w:p w:rsidR="00902F7C" w:rsidRDefault="00902F7C">
      <w:pPr>
        <w:jc w:val="both"/>
      </w:pPr>
      <w:r>
        <w:rPr>
          <w:b/>
          <w:smallCaps/>
        </w:rPr>
        <w:t>Objetivo</w:t>
      </w:r>
      <w:r w:rsidR="00612C3A">
        <w:rPr>
          <w:b/>
          <w:smallCaps/>
        </w:rPr>
        <w:t xml:space="preserve">s </w:t>
      </w:r>
      <w:r w:rsidR="00235B3B">
        <w:rPr>
          <w:b/>
          <w:smallCaps/>
        </w:rPr>
        <w:t>de la consulta</w:t>
      </w:r>
    </w:p>
    <w:p w:rsidR="00902F7C" w:rsidRDefault="00902F7C">
      <w:pPr>
        <w:jc w:val="both"/>
      </w:pPr>
      <w:r>
        <w:t xml:space="preserve">Conocer </w:t>
      </w:r>
      <w:r w:rsidR="00AF2C55">
        <w:t xml:space="preserve">los diagnósticos y las propuestas </w:t>
      </w:r>
      <w:r>
        <w:t xml:space="preserve">de </w:t>
      </w:r>
      <w:r w:rsidR="00AF2C55">
        <w:t xml:space="preserve">los actores </w:t>
      </w:r>
      <w:r>
        <w:t xml:space="preserve"> que trabajan con la primera infancia, infancia y adolescencia nucleadas en</w:t>
      </w:r>
      <w:r w:rsidR="00612C3A">
        <w:t xml:space="preserve"> </w:t>
      </w:r>
      <w:r w:rsidR="00AF2C55">
        <w:t xml:space="preserve">el Consejo Nacional Consultivo Honorario de los Derechos del Niño y Adolescente con el objetivo de </w:t>
      </w:r>
      <w:r w:rsidR="00BB3A98">
        <w:t xml:space="preserve">intercambiar y recoger insumos para </w:t>
      </w:r>
      <w:r w:rsidR="00AF2C55">
        <w:t xml:space="preserve">el </w:t>
      </w:r>
      <w:r w:rsidR="00BB3A98">
        <w:t xml:space="preserve">diseño del </w:t>
      </w:r>
      <w:r w:rsidR="00AF2C55">
        <w:t>Plan de Acción de primera infancia, infancia y adolescencia para el quinquenio 2015-2020</w:t>
      </w:r>
      <w:r>
        <w:t xml:space="preserve">. </w:t>
      </w:r>
    </w:p>
    <w:p w:rsidR="00902F7C" w:rsidRDefault="00902F7C">
      <w:pPr>
        <w:jc w:val="both"/>
        <w:rPr>
          <w:b/>
          <w:smallCaps/>
        </w:rPr>
      </w:pPr>
      <w:r>
        <w:t xml:space="preserve">Promover el diálogo e identificar coordinaciones intra e interinstitucionales que permitan obtener los resultados propuestos asegurando la calidad de las intervenciones. </w:t>
      </w:r>
    </w:p>
    <w:p w:rsidR="00902F7C" w:rsidRDefault="00902F7C">
      <w:pPr>
        <w:jc w:val="both"/>
        <w:rPr>
          <w:b/>
          <w:smallCaps/>
        </w:rPr>
      </w:pPr>
      <w:r>
        <w:rPr>
          <w:b/>
          <w:smallCaps/>
        </w:rPr>
        <w:t>Metodología</w:t>
      </w:r>
    </w:p>
    <w:p w:rsidR="00BB3A98" w:rsidRDefault="00AF2C55" w:rsidP="00AF2C55">
      <w:pPr>
        <w:tabs>
          <w:tab w:val="left" w:pos="1185"/>
        </w:tabs>
        <w:spacing w:after="0"/>
        <w:jc w:val="both"/>
      </w:pPr>
      <w:r>
        <w:t xml:space="preserve">Se propone trabajar en </w:t>
      </w:r>
      <w:r w:rsidR="00C42E83">
        <w:rPr>
          <w:b/>
        </w:rPr>
        <w:t>cuatro</w:t>
      </w:r>
      <w:r w:rsidR="00B515D1" w:rsidRPr="00B515D1">
        <w:rPr>
          <w:b/>
        </w:rPr>
        <w:t xml:space="preserve"> jornadas de consulta</w:t>
      </w:r>
      <w:r>
        <w:t>.</w:t>
      </w:r>
      <w:r w:rsidR="00BB3A98">
        <w:t xml:space="preserve"> </w:t>
      </w:r>
    </w:p>
    <w:p w:rsidR="00AF2C55" w:rsidRDefault="00AF2C55" w:rsidP="00AF2C55">
      <w:pPr>
        <w:tabs>
          <w:tab w:val="left" w:pos="1185"/>
        </w:tabs>
        <w:spacing w:after="0"/>
        <w:jc w:val="both"/>
      </w:pPr>
      <w:r>
        <w:t xml:space="preserve"> </w:t>
      </w:r>
    </w:p>
    <w:p w:rsidR="00AF2C55" w:rsidRDefault="00AF2C55" w:rsidP="00C42E83">
      <w:pPr>
        <w:tabs>
          <w:tab w:val="left" w:pos="1185"/>
        </w:tabs>
        <w:jc w:val="both"/>
        <w:rPr>
          <w:b/>
          <w:smallCaps/>
        </w:rPr>
      </w:pPr>
      <w:r>
        <w:t>En la primera se realizará una presentación del proceso de trabajo de la Comisión y se presentará la consigna de trabajo. Se dará un plazo para que las instituciones participantes sistematicen sus aportes, que serán recogidos luego en una segunda instancia (y en material escrito). Se realizará asimismo, un intercambio en torno a los aportes y se acordará el proceso a seguir</w:t>
      </w:r>
      <w:r w:rsidR="00BB3A98">
        <w:t xml:space="preserve">. </w:t>
      </w:r>
    </w:p>
    <w:p w:rsidR="00902F7C" w:rsidRDefault="0017247E">
      <w:pPr>
        <w:jc w:val="both"/>
        <w:rPr>
          <w:smallCaps/>
          <w:sz w:val="20"/>
        </w:rPr>
      </w:pPr>
      <w:r>
        <w:rPr>
          <w:b/>
          <w:smallCaps/>
        </w:rPr>
        <w:t>ORDEN DEL DÍA</w:t>
      </w:r>
    </w:p>
    <w:p w:rsidR="00902F7C" w:rsidRPr="0017247E" w:rsidRDefault="00902F7C">
      <w:pPr>
        <w:jc w:val="both"/>
      </w:pPr>
      <w:r>
        <w:t>Pa</w:t>
      </w:r>
      <w:r w:rsidR="0017247E">
        <w:t>labras de bienvenida a cargo de la Presidenta de INAU, Marisa Linder y la Subsecretaria del MIDES, Ana Olivera.</w:t>
      </w:r>
    </w:p>
    <w:p w:rsidR="00902F7C" w:rsidRPr="0017247E" w:rsidRDefault="00902F7C">
      <w:pPr>
        <w:jc w:val="both"/>
      </w:pPr>
      <w:r>
        <w:t>Presentación de</w:t>
      </w:r>
      <w:r w:rsidR="0017247E">
        <w:t>l proceso de trabajo a cargo de la Directora de UCC, Mariela Solari, Director Nacional de Políticas Sociales, Matías Rodríguez y Asesora de la Presidenta del INAU, Lucía Pierri.</w:t>
      </w:r>
    </w:p>
    <w:p w:rsidR="00902F7C" w:rsidRPr="0017247E" w:rsidRDefault="00902F7C">
      <w:pPr>
        <w:jc w:val="both"/>
      </w:pPr>
      <w:r>
        <w:t xml:space="preserve">Presentación de </w:t>
      </w:r>
      <w:r w:rsidR="0017247E">
        <w:t>metodología de trabajo</w:t>
      </w:r>
      <w:r>
        <w:t xml:space="preserve">. </w:t>
      </w:r>
    </w:p>
    <w:p w:rsidR="00902F7C" w:rsidRPr="0017247E" w:rsidRDefault="00902F7C">
      <w:pPr>
        <w:jc w:val="both"/>
      </w:pPr>
      <w:r>
        <w:t>Intercambio</w:t>
      </w:r>
      <w:r w:rsidR="0017247E">
        <w:t>.</w:t>
      </w:r>
      <w:r>
        <w:t xml:space="preserve"> </w:t>
      </w:r>
    </w:p>
    <w:p w:rsidR="00902F7C" w:rsidRDefault="00902F7C" w:rsidP="00824F30">
      <w:pPr>
        <w:jc w:val="both"/>
      </w:pPr>
      <w:r>
        <w:t>Cie</w:t>
      </w:r>
      <w:r w:rsidR="0017247E">
        <w:t>rre y próximos pasos a segui</w:t>
      </w:r>
      <w:r w:rsidR="00824F30">
        <w:t>r.</w:t>
      </w:r>
    </w:p>
    <w:sectPr w:rsidR="00902F7C" w:rsidSect="004E7606">
      <w:pgSz w:w="11906" w:h="16838"/>
      <w:pgMar w:top="1417" w:right="1701" w:bottom="1417" w:left="1701" w:header="720" w:footer="720" w:gutter="0"/>
      <w:cols w:space="720"/>
      <w:docGrid w:linePitch="600" w:charSpace="36864"/>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rsids>
    <w:rsidRoot w:val="008E1638"/>
    <w:rsid w:val="000961D8"/>
    <w:rsid w:val="000D4F5E"/>
    <w:rsid w:val="0017247E"/>
    <w:rsid w:val="001A774A"/>
    <w:rsid w:val="001F223C"/>
    <w:rsid w:val="00235B3B"/>
    <w:rsid w:val="00267514"/>
    <w:rsid w:val="00275EAB"/>
    <w:rsid w:val="003A6638"/>
    <w:rsid w:val="00461E0F"/>
    <w:rsid w:val="004A5BF5"/>
    <w:rsid w:val="004E7606"/>
    <w:rsid w:val="00612C3A"/>
    <w:rsid w:val="008075DE"/>
    <w:rsid w:val="00824F30"/>
    <w:rsid w:val="00876812"/>
    <w:rsid w:val="008C0EE1"/>
    <w:rsid w:val="008E1638"/>
    <w:rsid w:val="00902F7C"/>
    <w:rsid w:val="009045B6"/>
    <w:rsid w:val="009874E8"/>
    <w:rsid w:val="009A117E"/>
    <w:rsid w:val="00AF2C55"/>
    <w:rsid w:val="00B01B61"/>
    <w:rsid w:val="00B515D1"/>
    <w:rsid w:val="00BB3A98"/>
    <w:rsid w:val="00BC5265"/>
    <w:rsid w:val="00C42E83"/>
    <w:rsid w:val="00C80C20"/>
    <w:rsid w:val="00C9060E"/>
    <w:rsid w:val="00D53265"/>
    <w:rsid w:val="00E36768"/>
    <w:rsid w:val="00E807AD"/>
    <w:rsid w:val="00ED390D"/>
    <w:rsid w:val="00F86041"/>
    <w:rsid w:val="00FB29D2"/>
    <w:rsid w:val="00FF2830"/>
  </w:rsids>
  <m:mathPr>
    <m:mathFont m:val="Cambria Math"/>
    <m:brkBin m:val="before"/>
    <m:brkBinSub m:val="--"/>
    <m:smallFrac/>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UY" w:eastAsia="es-UY"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606"/>
    <w:pPr>
      <w:suppressAutoHyphens/>
      <w:spacing w:after="200" w:line="276" w:lineRule="auto"/>
    </w:pPr>
    <w:rPr>
      <w:rFonts w:ascii="Calibri" w:eastAsia="Calibri" w:hAnsi="Calibri"/>
      <w:sz w:val="22"/>
      <w:szCs w:val="22"/>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rsid w:val="004E7606"/>
  </w:style>
  <w:style w:type="character" w:customStyle="1" w:styleId="WW8Num1z1">
    <w:name w:val="WW8Num1z1"/>
    <w:rsid w:val="004E7606"/>
  </w:style>
  <w:style w:type="character" w:customStyle="1" w:styleId="WW8Num1z2">
    <w:name w:val="WW8Num1z2"/>
    <w:rsid w:val="004E7606"/>
  </w:style>
  <w:style w:type="character" w:customStyle="1" w:styleId="WW8Num1z3">
    <w:name w:val="WW8Num1z3"/>
    <w:rsid w:val="004E7606"/>
  </w:style>
  <w:style w:type="character" w:customStyle="1" w:styleId="WW8Num1z4">
    <w:name w:val="WW8Num1z4"/>
    <w:rsid w:val="004E7606"/>
  </w:style>
  <w:style w:type="character" w:customStyle="1" w:styleId="WW8Num1z5">
    <w:name w:val="WW8Num1z5"/>
    <w:rsid w:val="004E7606"/>
  </w:style>
  <w:style w:type="character" w:customStyle="1" w:styleId="WW8Num1z6">
    <w:name w:val="WW8Num1z6"/>
    <w:rsid w:val="004E7606"/>
  </w:style>
  <w:style w:type="character" w:customStyle="1" w:styleId="WW8Num1z7">
    <w:name w:val="WW8Num1z7"/>
    <w:rsid w:val="004E7606"/>
  </w:style>
  <w:style w:type="character" w:customStyle="1" w:styleId="WW8Num1z8">
    <w:name w:val="WW8Num1z8"/>
    <w:rsid w:val="004E7606"/>
  </w:style>
  <w:style w:type="character" w:customStyle="1" w:styleId="Fuentedeprrafopredeter1">
    <w:name w:val="Fuente de párrafo predeter.1"/>
    <w:rsid w:val="004E7606"/>
  </w:style>
  <w:style w:type="paragraph" w:customStyle="1" w:styleId="Encabezado1">
    <w:name w:val="Encabezado1"/>
    <w:basedOn w:val="Normal"/>
    <w:next w:val="Textoindependiente"/>
    <w:rsid w:val="004E7606"/>
    <w:pPr>
      <w:keepNext/>
      <w:spacing w:before="240" w:after="120"/>
    </w:pPr>
    <w:rPr>
      <w:rFonts w:ascii="Arial" w:eastAsia="Lucida Sans Unicode" w:hAnsi="Arial" w:cs="Mangal"/>
      <w:sz w:val="28"/>
      <w:szCs w:val="28"/>
    </w:rPr>
  </w:style>
  <w:style w:type="paragraph" w:styleId="Textoindependiente">
    <w:name w:val="Body Text"/>
    <w:basedOn w:val="Normal"/>
    <w:rsid w:val="004E7606"/>
    <w:pPr>
      <w:spacing w:after="120"/>
    </w:pPr>
  </w:style>
  <w:style w:type="paragraph" w:styleId="Lista">
    <w:name w:val="List"/>
    <w:basedOn w:val="Textoindependiente"/>
    <w:rsid w:val="004E7606"/>
    <w:rPr>
      <w:rFonts w:cs="Mangal"/>
    </w:rPr>
  </w:style>
  <w:style w:type="paragraph" w:customStyle="1" w:styleId="Etiqueta">
    <w:name w:val="Etiqueta"/>
    <w:basedOn w:val="Normal"/>
    <w:rsid w:val="004E7606"/>
    <w:pPr>
      <w:suppressLineNumbers/>
      <w:spacing w:before="120" w:after="120"/>
    </w:pPr>
    <w:rPr>
      <w:rFonts w:cs="Mangal"/>
      <w:i/>
      <w:iCs/>
      <w:sz w:val="24"/>
      <w:szCs w:val="24"/>
    </w:rPr>
  </w:style>
  <w:style w:type="paragraph" w:customStyle="1" w:styleId="ndice">
    <w:name w:val="Índice"/>
    <w:basedOn w:val="Normal"/>
    <w:rsid w:val="004E7606"/>
    <w:pPr>
      <w:suppressLineNumbers/>
    </w:pPr>
    <w:rPr>
      <w:rFonts w:cs="Mangal"/>
    </w:rPr>
  </w:style>
  <w:style w:type="paragraph" w:styleId="NormalWeb">
    <w:name w:val="Normal (Web)"/>
    <w:basedOn w:val="Normal"/>
    <w:rsid w:val="004E7606"/>
    <w:pPr>
      <w:spacing w:before="280" w:after="280" w:line="240" w:lineRule="auto"/>
    </w:pPr>
    <w:rPr>
      <w:rFonts w:ascii="Times New Roman" w:eastAsia="Times New Roman" w:hAnsi="Times New Roman"/>
      <w:sz w:val="24"/>
      <w:szCs w:val="24"/>
    </w:rPr>
  </w:style>
  <w:style w:type="paragraph" w:styleId="Textodeglobo">
    <w:name w:val="Balloon Text"/>
    <w:basedOn w:val="Normal"/>
    <w:link w:val="TextodegloboCar"/>
    <w:uiPriority w:val="99"/>
    <w:semiHidden/>
    <w:unhideWhenUsed/>
    <w:rsid w:val="008E1638"/>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8E1638"/>
    <w:rPr>
      <w:rFonts w:ascii="Tahoma" w:eastAsia="Calibri" w:hAnsi="Tahoma" w:cs="Tahoma"/>
      <w:sz w:val="16"/>
      <w:szCs w:val="16"/>
      <w:lang w:val="es-UY" w:eastAsia="ar-SA"/>
    </w:rPr>
  </w:style>
  <w:style w:type="character" w:styleId="Refdecomentario">
    <w:name w:val="annotation reference"/>
    <w:uiPriority w:val="99"/>
    <w:semiHidden/>
    <w:unhideWhenUsed/>
    <w:rsid w:val="00C80C20"/>
    <w:rPr>
      <w:sz w:val="16"/>
      <w:szCs w:val="16"/>
    </w:rPr>
  </w:style>
  <w:style w:type="paragraph" w:styleId="Textocomentario">
    <w:name w:val="annotation text"/>
    <w:basedOn w:val="Normal"/>
    <w:link w:val="TextocomentarioCar"/>
    <w:uiPriority w:val="99"/>
    <w:unhideWhenUsed/>
    <w:rsid w:val="00C80C20"/>
    <w:rPr>
      <w:sz w:val="20"/>
      <w:szCs w:val="20"/>
    </w:rPr>
  </w:style>
  <w:style w:type="character" w:customStyle="1" w:styleId="TextocomentarioCar">
    <w:name w:val="Texto comentario Car"/>
    <w:link w:val="Textocomentario"/>
    <w:uiPriority w:val="99"/>
    <w:rsid w:val="00C80C20"/>
    <w:rPr>
      <w:rFonts w:ascii="Calibri" w:eastAsia="Calibri" w:hAnsi="Calibri"/>
      <w:lang w:val="es-UY" w:eastAsia="ar-SA"/>
    </w:rPr>
  </w:style>
  <w:style w:type="paragraph" w:styleId="Asuntodelcomentario">
    <w:name w:val="annotation subject"/>
    <w:basedOn w:val="Textocomentario"/>
    <w:next w:val="Textocomentario"/>
    <w:link w:val="AsuntodelcomentarioCar"/>
    <w:uiPriority w:val="99"/>
    <w:semiHidden/>
    <w:unhideWhenUsed/>
    <w:rsid w:val="00C80C20"/>
    <w:rPr>
      <w:b/>
      <w:bCs/>
    </w:rPr>
  </w:style>
  <w:style w:type="character" w:customStyle="1" w:styleId="AsuntodelcomentarioCar">
    <w:name w:val="Asunto del comentario Car"/>
    <w:link w:val="Asuntodelcomentario"/>
    <w:uiPriority w:val="99"/>
    <w:semiHidden/>
    <w:rsid w:val="00C80C20"/>
    <w:rPr>
      <w:rFonts w:ascii="Calibri" w:eastAsia="Calibri" w:hAnsi="Calibri"/>
      <w:b/>
      <w:bCs/>
      <w:lang w:val="es-UY"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A86B8F-C291-42DD-A5EF-FC579A800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774</Words>
  <Characters>4263</Characters>
  <Application>Microsoft Office Word</Application>
  <DocSecurity>0</DocSecurity>
  <Lines>35</Lines>
  <Paragraphs>10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I</Company>
  <LinksUpToDate>false</LinksUpToDate>
  <CharactersWithSpaces>5027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paula baleato</cp:lastModifiedBy>
  <cp:revision>2</cp:revision>
  <cp:lastPrinted>2015-08-17T20:51:00Z</cp:lastPrinted>
  <dcterms:created xsi:type="dcterms:W3CDTF">2015-09-10T12:49:00Z</dcterms:created>
  <dcterms:modified xsi:type="dcterms:W3CDTF">2015-09-10T12:49:00Z</dcterms:modified>
</cp:coreProperties>
</file>